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53267" w14:textId="6ED681FD" w:rsidR="007658E8" w:rsidRDefault="0070322C">
      <w:pPr>
        <w:pStyle w:val="Title"/>
        <w:spacing w:after="120" w:line="268" w:lineRule="auto"/>
        <w:jc w:val="center"/>
      </w:pPr>
      <w:r>
        <w:t xml:space="preserve">Carbon Reduction Plan </w:t>
      </w:r>
    </w:p>
    <w:p w14:paraId="6F653268" w14:textId="778FF925" w:rsidR="007658E8" w:rsidRPr="00191BD0" w:rsidRDefault="0070322C" w:rsidP="00191BD0">
      <w:pPr>
        <w:pStyle w:val="Standard"/>
        <w:spacing w:after="120" w:line="268" w:lineRule="auto"/>
      </w:pPr>
      <w:r w:rsidRPr="00191BD0">
        <w:t xml:space="preserve">Supplier name: </w:t>
      </w:r>
      <w:r w:rsidR="00096E21" w:rsidRPr="00191BD0">
        <w:t>Lambert Smith Hampton</w:t>
      </w:r>
    </w:p>
    <w:p w14:paraId="03DB943A" w14:textId="34F87C6E" w:rsidR="00357334" w:rsidRPr="00191BD0" w:rsidRDefault="0070322C" w:rsidP="00191BD0">
      <w:pPr>
        <w:pStyle w:val="Standard"/>
        <w:spacing w:after="120" w:line="268" w:lineRule="auto"/>
      </w:pPr>
      <w:r w:rsidRPr="00191BD0">
        <w:t>Publication date</w:t>
      </w:r>
      <w:r w:rsidR="00357334" w:rsidRPr="00191BD0">
        <w:t>: 22/04/2025</w:t>
      </w:r>
    </w:p>
    <w:p w14:paraId="6F65326A" w14:textId="77777777" w:rsidR="007658E8" w:rsidRPr="00191BD0" w:rsidRDefault="0070322C" w:rsidP="00191BD0">
      <w:pPr>
        <w:pStyle w:val="Heading1"/>
        <w:spacing w:before="360" w:line="268" w:lineRule="auto"/>
        <w:rPr>
          <w:sz w:val="22"/>
          <w:szCs w:val="22"/>
        </w:rPr>
      </w:pPr>
      <w:bookmarkStart w:id="0" w:name="_heading=h.30j0zll"/>
      <w:bookmarkEnd w:id="0"/>
      <w:r w:rsidRPr="00191BD0">
        <w:rPr>
          <w:b/>
          <w:sz w:val="22"/>
          <w:szCs w:val="22"/>
        </w:rPr>
        <w:t>Commitment to achieving Net Zero</w:t>
      </w:r>
    </w:p>
    <w:p w14:paraId="04611BCA" w14:textId="288D7A59" w:rsidR="00096E21" w:rsidRPr="00191BD0" w:rsidRDefault="00096E21" w:rsidP="00191BD0">
      <w:pPr>
        <w:pStyle w:val="Heading1"/>
        <w:keepNext w:val="0"/>
        <w:keepLines w:val="0"/>
        <w:spacing w:before="0"/>
        <w:rPr>
          <w:sz w:val="22"/>
          <w:szCs w:val="22"/>
        </w:rPr>
      </w:pPr>
      <w:bookmarkStart w:id="1" w:name="_heading=h.1fob9te"/>
      <w:bookmarkEnd w:id="1"/>
      <w:r w:rsidRPr="00191BD0">
        <w:rPr>
          <w:sz w:val="22"/>
          <w:szCs w:val="22"/>
        </w:rPr>
        <w:t xml:space="preserve">Lambert Smith Hampton </w:t>
      </w:r>
      <w:r w:rsidR="00191BD0">
        <w:rPr>
          <w:sz w:val="22"/>
          <w:szCs w:val="22"/>
        </w:rPr>
        <w:t xml:space="preserve">(LSH) </w:t>
      </w:r>
      <w:r w:rsidRPr="00191BD0">
        <w:rPr>
          <w:sz w:val="22"/>
          <w:szCs w:val="22"/>
        </w:rPr>
        <w:t>i</w:t>
      </w:r>
      <w:r w:rsidR="0070322C" w:rsidRPr="00191BD0">
        <w:rPr>
          <w:sz w:val="22"/>
          <w:szCs w:val="22"/>
        </w:rPr>
        <w:t xml:space="preserve">s committed to achieving Net Zero emissions </w:t>
      </w:r>
      <w:r w:rsidR="00D46CCB" w:rsidRPr="00191BD0">
        <w:rPr>
          <w:sz w:val="22"/>
          <w:szCs w:val="22"/>
        </w:rPr>
        <w:t xml:space="preserve">across the value chain </w:t>
      </w:r>
      <w:r w:rsidR="0070322C" w:rsidRPr="00191BD0">
        <w:rPr>
          <w:sz w:val="22"/>
          <w:szCs w:val="22"/>
        </w:rPr>
        <w:t>by 20</w:t>
      </w:r>
      <w:r w:rsidRPr="00191BD0">
        <w:rPr>
          <w:sz w:val="22"/>
          <w:szCs w:val="22"/>
        </w:rPr>
        <w:t>40.</w:t>
      </w:r>
      <w:r w:rsidR="00D46CCB" w:rsidRPr="00191BD0">
        <w:rPr>
          <w:sz w:val="22"/>
          <w:szCs w:val="22"/>
        </w:rPr>
        <w:t xml:space="preserve"> </w:t>
      </w:r>
      <w:r w:rsidR="000D3314" w:rsidRPr="00191BD0">
        <w:rPr>
          <w:sz w:val="22"/>
          <w:szCs w:val="22"/>
        </w:rPr>
        <w:t>W</w:t>
      </w:r>
      <w:r w:rsidR="006F6F02" w:rsidRPr="00191BD0">
        <w:rPr>
          <w:sz w:val="22"/>
          <w:szCs w:val="22"/>
        </w:rPr>
        <w:t>e have aligned our climate ambition to the SBTi's 1.5-degree warming pathway. We are committed to a 95% reduction in absolute scope 1 and 2 emissions by 2030, against a 2020 baseline. Our scope 3 reduction target is 50% by 2030, against a 2021 baseline and our goal is to achieve net zero emissions by 2040 across our value chain. To ensure that we meet our targets, we are progressing our journey to net zero through third party data validation. This is to ensure a rigorous assessment of our operations and enables us to demonstrate and report annually on the improvements made to the sustainability of our business.</w:t>
      </w:r>
    </w:p>
    <w:p w14:paraId="6F65326C" w14:textId="77777777" w:rsidR="007658E8" w:rsidRPr="00191BD0" w:rsidRDefault="0070322C" w:rsidP="00191BD0">
      <w:pPr>
        <w:pStyle w:val="Heading1"/>
        <w:spacing w:before="360" w:line="268" w:lineRule="auto"/>
        <w:rPr>
          <w:sz w:val="22"/>
          <w:szCs w:val="22"/>
        </w:rPr>
      </w:pPr>
      <w:bookmarkStart w:id="2" w:name="_heading=h.3znysh7"/>
      <w:bookmarkEnd w:id="2"/>
      <w:r w:rsidRPr="00191BD0">
        <w:rPr>
          <w:b/>
          <w:sz w:val="22"/>
          <w:szCs w:val="22"/>
        </w:rPr>
        <w:t>Baseline Emissions Footprint</w:t>
      </w:r>
    </w:p>
    <w:p w14:paraId="6F653289" w14:textId="59D0A5EF" w:rsidR="007658E8" w:rsidRPr="00191BD0" w:rsidRDefault="000D3314" w:rsidP="00191BD0">
      <w:pPr>
        <w:pStyle w:val="Standard"/>
      </w:pPr>
      <w:r w:rsidRPr="00191BD0">
        <w:t>Baseline emissions represent the quantified greenhouse gas emissions prior to implementing any reduction measures and serve as the reference point for tracking progress against decarbonisation targets.</w:t>
      </w:r>
    </w:p>
    <w:p w14:paraId="1793CA8C" w14:textId="77777777" w:rsidR="000D3314" w:rsidRPr="00191BD0" w:rsidRDefault="000D3314" w:rsidP="00191BD0">
      <w:pPr>
        <w:pStyle w:val="Standard"/>
        <w:rPr>
          <w:b/>
        </w:rPr>
      </w:pPr>
    </w:p>
    <w:tbl>
      <w:tblPr>
        <w:tblW w:w="9450" w:type="dxa"/>
        <w:tblLayout w:type="fixed"/>
        <w:tblCellMar>
          <w:left w:w="10" w:type="dxa"/>
          <w:right w:w="10" w:type="dxa"/>
        </w:tblCellMar>
        <w:tblLook w:val="04A0" w:firstRow="1" w:lastRow="0" w:firstColumn="1" w:lastColumn="0" w:noHBand="0" w:noVBand="1"/>
      </w:tblPr>
      <w:tblGrid>
        <w:gridCol w:w="4526"/>
        <w:gridCol w:w="4924"/>
      </w:tblGrid>
      <w:tr w:rsidR="00096E21" w:rsidRPr="00191BD0" w14:paraId="352325C3" w14:textId="77777777" w:rsidTr="002D3E3A">
        <w:trPr>
          <w:trHeight w:val="455"/>
        </w:trPr>
        <w:tc>
          <w:tcPr>
            <w:tcW w:w="94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4A24C" w14:textId="77777777" w:rsidR="00096E21" w:rsidRPr="00191BD0" w:rsidRDefault="00096E21" w:rsidP="00191BD0">
            <w:pPr>
              <w:pStyle w:val="Standard"/>
              <w:spacing w:after="120" w:line="271" w:lineRule="auto"/>
              <w:rPr>
                <w:b/>
              </w:rPr>
            </w:pPr>
            <w:r w:rsidRPr="00191BD0">
              <w:rPr>
                <w:b/>
              </w:rPr>
              <w:t>Baseline Year: 2023</w:t>
            </w:r>
          </w:p>
        </w:tc>
      </w:tr>
      <w:tr w:rsidR="00096E21" w:rsidRPr="00191BD0" w14:paraId="7B07DE48" w14:textId="77777777" w:rsidTr="00C055AD">
        <w:trPr>
          <w:trHeight w:val="2284"/>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C5C81" w14:textId="6932747E" w:rsidR="004365D3" w:rsidRPr="00191BD0" w:rsidRDefault="004365D3" w:rsidP="00191BD0">
            <w:pPr>
              <w:pStyle w:val="Standard"/>
              <w:spacing w:after="120" w:line="271" w:lineRule="auto"/>
              <w:rPr>
                <w:iCs/>
              </w:rPr>
            </w:pPr>
            <w:r w:rsidRPr="00191BD0">
              <w:rPr>
                <w:iCs/>
              </w:rPr>
              <w:t xml:space="preserve">Our carbon footprint is calculated across Scopes 1, 2, and pertinent Scope 3 emissions, adhering to methodologies aligned with the GHG Protocol. This data undergoes independent verification by Planet Mark, ensuring accuracy and compliance with best practices. In instances where specific data points are unavailable, </w:t>
            </w:r>
            <w:r w:rsidR="00A70AE7" w:rsidRPr="00191BD0">
              <w:rPr>
                <w:iCs/>
              </w:rPr>
              <w:t>Planet Mark</w:t>
            </w:r>
            <w:r w:rsidRPr="00191BD0">
              <w:rPr>
                <w:iCs/>
              </w:rPr>
              <w:t xml:space="preserve"> employs estimation techniques that maintain consistency with established reporting standards.​</w:t>
            </w:r>
          </w:p>
          <w:p w14:paraId="206C6FC0" w14:textId="21EA0571" w:rsidR="00096E21" w:rsidRPr="00191BD0" w:rsidRDefault="004365D3" w:rsidP="00191BD0">
            <w:pPr>
              <w:pStyle w:val="Standard"/>
              <w:spacing w:after="120" w:line="271" w:lineRule="auto"/>
              <w:rPr>
                <w:iCs/>
              </w:rPr>
            </w:pPr>
            <w:r w:rsidRPr="00191BD0">
              <w:rPr>
                <w:iCs/>
              </w:rPr>
              <w:t>This rigorous approach ensures that our emissions reporting is both accurate and aligned with recognised sustainability frameworks.</w:t>
            </w:r>
          </w:p>
        </w:tc>
      </w:tr>
      <w:tr w:rsidR="00096E21" w:rsidRPr="00191BD0" w14:paraId="20D26C53" w14:textId="77777777" w:rsidTr="002D3E3A">
        <w:trPr>
          <w:trHeight w:val="455"/>
        </w:trPr>
        <w:tc>
          <w:tcPr>
            <w:tcW w:w="945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74D169BD" w14:textId="77777777" w:rsidR="00096E21" w:rsidRPr="00191BD0" w:rsidRDefault="00096E21" w:rsidP="00191BD0">
            <w:pPr>
              <w:pStyle w:val="Standard"/>
              <w:spacing w:after="120" w:line="271" w:lineRule="auto"/>
              <w:rPr>
                <w:b/>
              </w:rPr>
            </w:pPr>
            <w:r w:rsidRPr="00191BD0">
              <w:rPr>
                <w:b/>
              </w:rPr>
              <w:t>Baseline year emissions:</w:t>
            </w:r>
          </w:p>
        </w:tc>
      </w:tr>
      <w:tr w:rsidR="00096E21" w:rsidRPr="00191BD0" w14:paraId="01736596" w14:textId="77777777" w:rsidTr="002D3E3A">
        <w:trPr>
          <w:trHeight w:val="740"/>
        </w:trPr>
        <w:tc>
          <w:tcPr>
            <w:tcW w:w="4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927EF3" w14:textId="77777777" w:rsidR="00096E21" w:rsidRPr="00191BD0" w:rsidRDefault="00096E21" w:rsidP="00191BD0">
            <w:pPr>
              <w:pStyle w:val="Standard"/>
              <w:spacing w:after="120" w:line="271" w:lineRule="auto"/>
              <w:rPr>
                <w:b/>
              </w:rPr>
            </w:pPr>
            <w:r w:rsidRPr="00191BD0">
              <w:rPr>
                <w:b/>
              </w:rPr>
              <w:t>EMISSIONS</w:t>
            </w:r>
          </w:p>
        </w:tc>
        <w:tc>
          <w:tcPr>
            <w:tcW w:w="4924" w:type="dxa"/>
            <w:tcBorders>
              <w:bottom w:val="single" w:sz="8" w:space="0" w:color="000000"/>
              <w:right w:val="single" w:sz="18" w:space="0" w:color="000000"/>
            </w:tcBorders>
            <w:tcMar>
              <w:top w:w="100" w:type="dxa"/>
              <w:left w:w="100" w:type="dxa"/>
              <w:bottom w:w="100" w:type="dxa"/>
              <w:right w:w="100" w:type="dxa"/>
            </w:tcMar>
          </w:tcPr>
          <w:p w14:paraId="661CFF1A" w14:textId="77777777" w:rsidR="00096E21" w:rsidRPr="00191BD0" w:rsidRDefault="00096E21" w:rsidP="00191BD0">
            <w:pPr>
              <w:pStyle w:val="Standard"/>
              <w:spacing w:after="120" w:line="271" w:lineRule="auto"/>
              <w:rPr>
                <w:b/>
              </w:rPr>
            </w:pPr>
            <w:r w:rsidRPr="00191BD0">
              <w:rPr>
                <w:b/>
              </w:rPr>
              <w:t>TOTAL (tCO</w:t>
            </w:r>
            <w:r w:rsidRPr="00191BD0">
              <w:rPr>
                <w:b/>
                <w:vertAlign w:val="subscript"/>
              </w:rPr>
              <w:t>2</w:t>
            </w:r>
            <w:r w:rsidRPr="00191BD0">
              <w:rPr>
                <w:b/>
              </w:rPr>
              <w:t>e)</w:t>
            </w:r>
          </w:p>
        </w:tc>
      </w:tr>
      <w:tr w:rsidR="00096E21" w:rsidRPr="00191BD0" w14:paraId="0180036A" w14:textId="77777777" w:rsidTr="002D3E3A">
        <w:trPr>
          <w:trHeight w:val="455"/>
        </w:trPr>
        <w:tc>
          <w:tcPr>
            <w:tcW w:w="4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0CD680" w14:textId="77777777" w:rsidR="00096E21" w:rsidRPr="00191BD0" w:rsidRDefault="00096E21" w:rsidP="00191BD0">
            <w:pPr>
              <w:pStyle w:val="Standard"/>
              <w:spacing w:after="120" w:line="271" w:lineRule="auto"/>
              <w:rPr>
                <w:b/>
              </w:rPr>
            </w:pPr>
            <w:r w:rsidRPr="00191BD0">
              <w:rPr>
                <w:b/>
              </w:rPr>
              <w:t>Scope 1</w:t>
            </w:r>
          </w:p>
        </w:tc>
        <w:tc>
          <w:tcPr>
            <w:tcW w:w="4924" w:type="dxa"/>
            <w:tcBorders>
              <w:bottom w:val="single" w:sz="8" w:space="0" w:color="000000"/>
              <w:right w:val="single" w:sz="18" w:space="0" w:color="000000"/>
            </w:tcBorders>
            <w:tcMar>
              <w:top w:w="100" w:type="dxa"/>
              <w:left w:w="100" w:type="dxa"/>
              <w:bottom w:w="100" w:type="dxa"/>
              <w:right w:w="100" w:type="dxa"/>
            </w:tcMar>
          </w:tcPr>
          <w:p w14:paraId="5E8DD061" w14:textId="77777777" w:rsidR="00096E21" w:rsidRPr="00191BD0" w:rsidRDefault="00096E21" w:rsidP="00191BD0">
            <w:pPr>
              <w:pStyle w:val="Standard"/>
              <w:spacing w:after="120" w:line="271" w:lineRule="auto"/>
              <w:rPr>
                <w:b/>
              </w:rPr>
            </w:pPr>
            <w:r w:rsidRPr="00191BD0">
              <w:rPr>
                <w:b/>
              </w:rPr>
              <w:t>108.70</w:t>
            </w:r>
          </w:p>
        </w:tc>
      </w:tr>
      <w:tr w:rsidR="00096E21" w:rsidRPr="00191BD0" w14:paraId="6C0CF2B1" w14:textId="77777777" w:rsidTr="002D3E3A">
        <w:trPr>
          <w:trHeight w:val="455"/>
        </w:trPr>
        <w:tc>
          <w:tcPr>
            <w:tcW w:w="452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0FBBBF" w14:textId="7C994D6B" w:rsidR="00096E21" w:rsidRPr="00191BD0" w:rsidRDefault="00096E21" w:rsidP="00191BD0">
            <w:pPr>
              <w:pStyle w:val="Standard"/>
              <w:spacing w:after="120" w:line="271" w:lineRule="auto"/>
              <w:rPr>
                <w:b/>
              </w:rPr>
            </w:pPr>
            <w:r w:rsidRPr="00191BD0">
              <w:rPr>
                <w:b/>
              </w:rPr>
              <w:t>Scope 2</w:t>
            </w:r>
            <w:r w:rsidR="00A82E50" w:rsidRPr="00191BD0">
              <w:rPr>
                <w:b/>
              </w:rPr>
              <w:t xml:space="preserve"> (location based)</w:t>
            </w:r>
          </w:p>
        </w:tc>
        <w:tc>
          <w:tcPr>
            <w:tcW w:w="4924" w:type="dxa"/>
            <w:tcBorders>
              <w:bottom w:val="single" w:sz="8" w:space="0" w:color="000000"/>
              <w:right w:val="single" w:sz="18" w:space="0" w:color="000000"/>
            </w:tcBorders>
            <w:tcMar>
              <w:top w:w="100" w:type="dxa"/>
              <w:left w:w="100" w:type="dxa"/>
              <w:bottom w:w="100" w:type="dxa"/>
              <w:right w:w="100" w:type="dxa"/>
            </w:tcMar>
          </w:tcPr>
          <w:p w14:paraId="21A257BF" w14:textId="77777777" w:rsidR="00096E21" w:rsidRPr="00191BD0" w:rsidRDefault="00096E21" w:rsidP="00191BD0">
            <w:pPr>
              <w:pStyle w:val="Standard"/>
              <w:spacing w:after="120" w:line="271" w:lineRule="auto"/>
              <w:rPr>
                <w:b/>
              </w:rPr>
            </w:pPr>
            <w:r w:rsidRPr="00191BD0">
              <w:rPr>
                <w:b/>
              </w:rPr>
              <w:t>222.80</w:t>
            </w:r>
          </w:p>
        </w:tc>
      </w:tr>
      <w:tr w:rsidR="00096E21" w:rsidRPr="00191BD0" w14:paraId="49382674" w14:textId="77777777" w:rsidTr="002D3E3A">
        <w:trPr>
          <w:trHeight w:val="455"/>
        </w:trPr>
        <w:tc>
          <w:tcPr>
            <w:tcW w:w="9450" w:type="dxa"/>
            <w:gridSpan w:val="2"/>
            <w:tcBorders>
              <w:left w:val="single" w:sz="8" w:space="0" w:color="000000"/>
              <w:bottom w:val="single" w:sz="8" w:space="0" w:color="000000"/>
              <w:right w:val="single" w:sz="18" w:space="0" w:color="000000"/>
            </w:tcBorders>
            <w:tcMar>
              <w:top w:w="100" w:type="dxa"/>
              <w:left w:w="100" w:type="dxa"/>
              <w:bottom w:w="100" w:type="dxa"/>
              <w:right w:w="100" w:type="dxa"/>
            </w:tcMar>
          </w:tcPr>
          <w:p w14:paraId="47C7709E" w14:textId="77777777" w:rsidR="00096E21" w:rsidRPr="00191BD0" w:rsidRDefault="00096E21" w:rsidP="00191BD0">
            <w:pPr>
              <w:pStyle w:val="Standard"/>
              <w:spacing w:after="120" w:line="271" w:lineRule="auto"/>
              <w:rPr>
                <w:b/>
              </w:rPr>
            </w:pPr>
            <w:r w:rsidRPr="00191BD0">
              <w:rPr>
                <w:b/>
              </w:rPr>
              <w:t>Scope 3 (Included Sources)</w:t>
            </w:r>
          </w:p>
        </w:tc>
      </w:tr>
      <w:tr w:rsidR="00096E21" w:rsidRPr="00191BD0" w14:paraId="2FEECA60" w14:textId="77777777" w:rsidTr="002D3E3A">
        <w:trPr>
          <w:trHeight w:val="455"/>
        </w:trPr>
        <w:tc>
          <w:tcPr>
            <w:tcW w:w="4526"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A280DCE" w14:textId="77777777" w:rsidR="00096E21" w:rsidRPr="00191BD0" w:rsidRDefault="00096E21" w:rsidP="00191BD0">
            <w:pPr>
              <w:pStyle w:val="Standard"/>
              <w:spacing w:after="120" w:line="271" w:lineRule="auto"/>
              <w:rPr>
                <w:b/>
              </w:rPr>
            </w:pPr>
            <w:r w:rsidRPr="00191BD0">
              <w:rPr>
                <w:b/>
                <w:color w:val="000000"/>
              </w:rPr>
              <w:lastRenderedPageBreak/>
              <w:t>Scope 3.1 Purchased goods and services (Only Paper Usage)</w:t>
            </w:r>
          </w:p>
        </w:tc>
        <w:tc>
          <w:tcPr>
            <w:tcW w:w="4924" w:type="dxa"/>
            <w:tcBorders>
              <w:bottom w:val="single" w:sz="8" w:space="0" w:color="000000"/>
              <w:right w:val="single" w:sz="18" w:space="0" w:color="000000"/>
            </w:tcBorders>
            <w:tcMar>
              <w:top w:w="100" w:type="dxa"/>
              <w:left w:w="100" w:type="dxa"/>
              <w:bottom w:w="100" w:type="dxa"/>
              <w:right w:w="100" w:type="dxa"/>
            </w:tcMar>
          </w:tcPr>
          <w:p w14:paraId="3DA64D43" w14:textId="77777777" w:rsidR="00096E21" w:rsidRPr="00191BD0" w:rsidRDefault="00096E21" w:rsidP="00191BD0">
            <w:pPr>
              <w:pStyle w:val="Standard"/>
              <w:spacing w:after="120" w:line="271" w:lineRule="auto"/>
              <w:rPr>
                <w:b/>
              </w:rPr>
            </w:pPr>
            <w:r w:rsidRPr="00191BD0">
              <w:rPr>
                <w:b/>
              </w:rPr>
              <w:t>8.80</w:t>
            </w:r>
          </w:p>
        </w:tc>
      </w:tr>
      <w:tr w:rsidR="00096E21" w:rsidRPr="00191BD0" w14:paraId="1BBADAC2" w14:textId="77777777" w:rsidTr="002D3E3A">
        <w:trPr>
          <w:trHeight w:val="455"/>
        </w:trPr>
        <w:tc>
          <w:tcPr>
            <w:tcW w:w="4526"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6D67FD7" w14:textId="77777777" w:rsidR="00096E21" w:rsidRPr="00191BD0" w:rsidRDefault="00096E21" w:rsidP="00191BD0">
            <w:pPr>
              <w:pStyle w:val="Standard"/>
              <w:spacing w:after="120" w:line="271" w:lineRule="auto"/>
              <w:rPr>
                <w:bCs/>
              </w:rPr>
            </w:pPr>
            <w:r w:rsidRPr="00191BD0">
              <w:rPr>
                <w:color w:val="000000"/>
              </w:rPr>
              <w:t>Scope 3.3 Fuel and energy related activities</w:t>
            </w:r>
          </w:p>
        </w:tc>
        <w:tc>
          <w:tcPr>
            <w:tcW w:w="4924" w:type="dxa"/>
            <w:tcBorders>
              <w:bottom w:val="single" w:sz="8" w:space="0" w:color="000000"/>
              <w:right w:val="single" w:sz="18" w:space="0" w:color="000000"/>
            </w:tcBorders>
            <w:tcMar>
              <w:top w:w="100" w:type="dxa"/>
              <w:left w:w="100" w:type="dxa"/>
              <w:bottom w:w="100" w:type="dxa"/>
              <w:right w:w="100" w:type="dxa"/>
            </w:tcMar>
          </w:tcPr>
          <w:p w14:paraId="1DF35970" w14:textId="77777777" w:rsidR="00096E21" w:rsidRPr="00191BD0" w:rsidRDefault="00096E21" w:rsidP="00191BD0">
            <w:pPr>
              <w:pStyle w:val="Standard"/>
              <w:spacing w:after="120" w:line="271" w:lineRule="auto"/>
              <w:rPr>
                <w:bCs/>
              </w:rPr>
            </w:pPr>
            <w:r w:rsidRPr="00191BD0">
              <w:rPr>
                <w:bCs/>
              </w:rPr>
              <w:t>20.50</w:t>
            </w:r>
          </w:p>
        </w:tc>
      </w:tr>
      <w:tr w:rsidR="00096E21" w:rsidRPr="00191BD0" w14:paraId="58023B60" w14:textId="77777777" w:rsidTr="002D3E3A">
        <w:trPr>
          <w:trHeight w:val="455"/>
        </w:trPr>
        <w:tc>
          <w:tcPr>
            <w:tcW w:w="4526"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A66F960" w14:textId="77777777" w:rsidR="00096E21" w:rsidRPr="00191BD0" w:rsidRDefault="00096E21" w:rsidP="00191BD0">
            <w:pPr>
              <w:pStyle w:val="Standard"/>
              <w:spacing w:after="120" w:line="271" w:lineRule="auto"/>
              <w:rPr>
                <w:bCs/>
              </w:rPr>
            </w:pPr>
            <w:r w:rsidRPr="00191BD0">
              <w:rPr>
                <w:color w:val="000000"/>
              </w:rPr>
              <w:t>Scope 3.5 Waste generated in operations</w:t>
            </w:r>
          </w:p>
        </w:tc>
        <w:tc>
          <w:tcPr>
            <w:tcW w:w="4924" w:type="dxa"/>
            <w:tcBorders>
              <w:bottom w:val="single" w:sz="8" w:space="0" w:color="000000"/>
              <w:right w:val="single" w:sz="18" w:space="0" w:color="000000"/>
            </w:tcBorders>
            <w:tcMar>
              <w:top w:w="100" w:type="dxa"/>
              <w:left w:w="100" w:type="dxa"/>
              <w:bottom w:w="100" w:type="dxa"/>
              <w:right w:w="100" w:type="dxa"/>
            </w:tcMar>
          </w:tcPr>
          <w:p w14:paraId="0B79BADC" w14:textId="77777777" w:rsidR="00096E21" w:rsidRPr="00191BD0" w:rsidRDefault="00096E21" w:rsidP="00191BD0">
            <w:pPr>
              <w:pStyle w:val="Standard"/>
              <w:spacing w:after="120" w:line="271" w:lineRule="auto"/>
              <w:rPr>
                <w:bCs/>
              </w:rPr>
            </w:pPr>
            <w:r w:rsidRPr="00191BD0">
              <w:rPr>
                <w:bCs/>
              </w:rPr>
              <w:t>12.13</w:t>
            </w:r>
          </w:p>
        </w:tc>
      </w:tr>
      <w:tr w:rsidR="00096E21" w:rsidRPr="00191BD0" w14:paraId="5835A91E" w14:textId="77777777" w:rsidTr="002D3E3A">
        <w:trPr>
          <w:trHeight w:val="455"/>
        </w:trPr>
        <w:tc>
          <w:tcPr>
            <w:tcW w:w="4526"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8ACA737" w14:textId="77777777" w:rsidR="00096E21" w:rsidRPr="00191BD0" w:rsidRDefault="00096E21" w:rsidP="00191BD0">
            <w:pPr>
              <w:pStyle w:val="Standard"/>
              <w:spacing w:after="120" w:line="271" w:lineRule="auto"/>
              <w:rPr>
                <w:bCs/>
              </w:rPr>
            </w:pPr>
            <w:r w:rsidRPr="00191BD0">
              <w:rPr>
                <w:color w:val="000000"/>
              </w:rPr>
              <w:t>Scope 3.6 Business travel (only grey fleet)</w:t>
            </w:r>
          </w:p>
        </w:tc>
        <w:tc>
          <w:tcPr>
            <w:tcW w:w="4924" w:type="dxa"/>
            <w:tcBorders>
              <w:bottom w:val="single" w:sz="8" w:space="0" w:color="000000"/>
              <w:right w:val="single" w:sz="18" w:space="0" w:color="000000"/>
            </w:tcBorders>
            <w:tcMar>
              <w:top w:w="100" w:type="dxa"/>
              <w:left w:w="100" w:type="dxa"/>
              <w:bottom w:w="100" w:type="dxa"/>
              <w:right w:w="100" w:type="dxa"/>
            </w:tcMar>
          </w:tcPr>
          <w:p w14:paraId="4297E4E9" w14:textId="77777777" w:rsidR="00096E21" w:rsidRPr="00191BD0" w:rsidRDefault="00096E21" w:rsidP="00191BD0">
            <w:pPr>
              <w:pStyle w:val="Standard"/>
              <w:spacing w:after="120" w:line="271" w:lineRule="auto"/>
              <w:rPr>
                <w:bCs/>
              </w:rPr>
            </w:pPr>
            <w:r w:rsidRPr="00191BD0">
              <w:rPr>
                <w:bCs/>
              </w:rPr>
              <w:t>348.90</w:t>
            </w:r>
          </w:p>
        </w:tc>
      </w:tr>
      <w:tr w:rsidR="00096E21" w:rsidRPr="00191BD0" w14:paraId="48BBA309" w14:textId="77777777" w:rsidTr="002D3E3A">
        <w:trPr>
          <w:trHeight w:val="585"/>
        </w:trPr>
        <w:tc>
          <w:tcPr>
            <w:tcW w:w="4526" w:type="dxa"/>
            <w:tcBorders>
              <w:top w:val="single" w:sz="1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5C203" w14:textId="77777777" w:rsidR="00096E21" w:rsidRPr="00191BD0" w:rsidRDefault="00096E21" w:rsidP="00191BD0">
            <w:pPr>
              <w:pStyle w:val="Standard"/>
              <w:spacing w:after="120" w:line="271" w:lineRule="auto"/>
              <w:rPr>
                <w:bCs/>
              </w:rPr>
            </w:pPr>
            <w:r w:rsidRPr="00191BD0">
              <w:rPr>
                <w:bCs/>
              </w:rPr>
              <w:t>Total Emissions</w:t>
            </w:r>
          </w:p>
        </w:tc>
        <w:tc>
          <w:tcPr>
            <w:tcW w:w="4924" w:type="dxa"/>
            <w:tcBorders>
              <w:top w:val="single" w:sz="18" w:space="0" w:color="000000"/>
              <w:bottom w:val="single" w:sz="8" w:space="0" w:color="000000"/>
              <w:right w:val="single" w:sz="18" w:space="0" w:color="000000"/>
            </w:tcBorders>
            <w:tcMar>
              <w:top w:w="100" w:type="dxa"/>
              <w:left w:w="100" w:type="dxa"/>
              <w:bottom w:w="100" w:type="dxa"/>
              <w:right w:w="100" w:type="dxa"/>
            </w:tcMar>
          </w:tcPr>
          <w:p w14:paraId="7B10A5F5" w14:textId="77777777" w:rsidR="00096E21" w:rsidRPr="00191BD0" w:rsidRDefault="00096E21" w:rsidP="00191BD0">
            <w:pPr>
              <w:pStyle w:val="Standard"/>
              <w:spacing w:after="120" w:line="271" w:lineRule="auto"/>
              <w:rPr>
                <w:bCs/>
              </w:rPr>
            </w:pPr>
            <w:r w:rsidRPr="00191BD0">
              <w:rPr>
                <w:bCs/>
              </w:rPr>
              <w:t>721.83</w:t>
            </w:r>
          </w:p>
        </w:tc>
      </w:tr>
    </w:tbl>
    <w:p w14:paraId="02485FFE" w14:textId="77777777" w:rsidR="00096E21" w:rsidRPr="00191BD0" w:rsidRDefault="00096E21" w:rsidP="00191BD0">
      <w:pPr>
        <w:pStyle w:val="Standard"/>
        <w:rPr>
          <w:b/>
        </w:rPr>
      </w:pPr>
    </w:p>
    <w:p w14:paraId="20B59797" w14:textId="19BC832B" w:rsidR="00096E21" w:rsidRPr="00191BD0" w:rsidRDefault="00400D25" w:rsidP="00191BD0">
      <w:pPr>
        <w:pStyle w:val="Standard"/>
        <w:rPr>
          <w:b/>
        </w:rPr>
      </w:pPr>
      <w:r w:rsidRPr="00191BD0">
        <w:rPr>
          <w:b/>
        </w:rPr>
        <w:t>Additional Details Relating to the Baseline Emissions Calculations</w:t>
      </w:r>
    </w:p>
    <w:p w14:paraId="6F65328A" w14:textId="77777777" w:rsidR="007658E8" w:rsidRPr="00191BD0" w:rsidRDefault="007658E8" w:rsidP="00191BD0">
      <w:pPr>
        <w:pStyle w:val="Standard"/>
        <w:rPr>
          <w:b/>
        </w:rPr>
      </w:pPr>
    </w:p>
    <w:p w14:paraId="1EBD1480" w14:textId="7DF913F5" w:rsidR="00462417" w:rsidRPr="00191BD0" w:rsidRDefault="00462417" w:rsidP="00191BD0">
      <w:pPr>
        <w:pStyle w:val="Standard"/>
      </w:pPr>
      <w:r w:rsidRPr="00191BD0">
        <w:t xml:space="preserve">These baseline emissions were certified by Planet Mark using data provided by Lambert Smith Hampton. These baseline emissions do not cover all of our emissions as the data collection and certification was limited in scope. We have since started measuring </w:t>
      </w:r>
      <w:r w:rsidR="0020795B" w:rsidRPr="00191BD0">
        <w:t>further</w:t>
      </w:r>
      <w:r w:rsidRPr="00191BD0">
        <w:t xml:space="preserve"> scope 3 emission categories to capture our full carbon emissions.</w:t>
      </w:r>
    </w:p>
    <w:p w14:paraId="6B9B0A72" w14:textId="77777777" w:rsidR="00400D25" w:rsidRPr="00191BD0" w:rsidRDefault="00400D25" w:rsidP="00191BD0">
      <w:pPr>
        <w:pStyle w:val="Standard"/>
        <w:rPr>
          <w:bCs/>
        </w:rPr>
      </w:pPr>
    </w:p>
    <w:p w14:paraId="6F65328B" w14:textId="77777777" w:rsidR="007658E8" w:rsidRPr="00191BD0" w:rsidRDefault="0070322C" w:rsidP="00191BD0">
      <w:pPr>
        <w:pStyle w:val="Standard"/>
        <w:rPr>
          <w:b/>
        </w:rPr>
      </w:pPr>
      <w:r w:rsidRPr="00191BD0">
        <w:rPr>
          <w:b/>
        </w:rPr>
        <w:t>Current Emissions Reporting</w:t>
      </w:r>
    </w:p>
    <w:p w14:paraId="4BF4E983" w14:textId="77777777" w:rsidR="00E850E7" w:rsidRPr="00191BD0" w:rsidRDefault="00E850E7" w:rsidP="00191BD0">
      <w:pPr>
        <w:pStyle w:val="Standard"/>
        <w:rPr>
          <w:b/>
        </w:rPr>
      </w:pPr>
    </w:p>
    <w:tbl>
      <w:tblPr>
        <w:tblW w:w="9465" w:type="dxa"/>
        <w:tblLayout w:type="fixed"/>
        <w:tblCellMar>
          <w:left w:w="10" w:type="dxa"/>
          <w:right w:w="10" w:type="dxa"/>
        </w:tblCellMar>
        <w:tblLook w:val="04A0" w:firstRow="1" w:lastRow="0" w:firstColumn="1" w:lastColumn="0" w:noHBand="0" w:noVBand="1"/>
      </w:tblPr>
      <w:tblGrid>
        <w:gridCol w:w="4954"/>
        <w:gridCol w:w="4511"/>
      </w:tblGrid>
      <w:tr w:rsidR="00E850E7" w:rsidRPr="00191BD0" w14:paraId="51FD060A" w14:textId="77777777" w:rsidTr="002D3E3A">
        <w:trPr>
          <w:trHeight w:val="122"/>
        </w:trPr>
        <w:tc>
          <w:tcPr>
            <w:tcW w:w="946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26C916" w14:textId="77777777" w:rsidR="00E850E7" w:rsidRPr="00191BD0" w:rsidRDefault="00E850E7" w:rsidP="00191BD0">
            <w:pPr>
              <w:pStyle w:val="Standard"/>
              <w:spacing w:after="120" w:line="271" w:lineRule="auto"/>
              <w:rPr>
                <w:b/>
                <w:bCs/>
              </w:rPr>
            </w:pPr>
            <w:r w:rsidRPr="00191BD0">
              <w:rPr>
                <w:b/>
                <w:bCs/>
              </w:rPr>
              <w:t>Reporting Year: 2024</w:t>
            </w:r>
          </w:p>
        </w:tc>
      </w:tr>
      <w:tr w:rsidR="00E850E7" w:rsidRPr="00191BD0" w14:paraId="2FC6A65A" w14:textId="77777777" w:rsidTr="001011C2">
        <w:trPr>
          <w:trHeight w:val="442"/>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DD9E8C" w14:textId="77777777" w:rsidR="00E850E7" w:rsidRPr="00191BD0" w:rsidRDefault="00E850E7" w:rsidP="00191BD0">
            <w:pPr>
              <w:pStyle w:val="Standard"/>
              <w:spacing w:after="120" w:line="271" w:lineRule="auto"/>
              <w:rPr>
                <w:b/>
                <w:bCs/>
              </w:rPr>
            </w:pPr>
            <w:r w:rsidRPr="00191BD0">
              <w:rPr>
                <w:b/>
                <w:bCs/>
              </w:rPr>
              <w:t>EMISSIONS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1856CC" w14:textId="77777777" w:rsidR="00E850E7" w:rsidRPr="00191BD0" w:rsidRDefault="00E850E7" w:rsidP="00191BD0">
            <w:pPr>
              <w:pStyle w:val="Standard"/>
              <w:spacing w:after="120" w:line="271" w:lineRule="auto"/>
              <w:rPr>
                <w:b/>
                <w:bCs/>
              </w:rPr>
            </w:pPr>
            <w:r w:rsidRPr="00191BD0">
              <w:rPr>
                <w:b/>
                <w:bCs/>
              </w:rPr>
              <w:t>TOTAL (tCO</w:t>
            </w:r>
            <w:r w:rsidRPr="00191BD0">
              <w:rPr>
                <w:b/>
                <w:bCs/>
                <w:vertAlign w:val="subscript"/>
              </w:rPr>
              <w:t>2</w:t>
            </w:r>
            <w:r w:rsidRPr="00191BD0">
              <w:rPr>
                <w:b/>
                <w:bCs/>
              </w:rPr>
              <w:t>e)</w:t>
            </w:r>
          </w:p>
        </w:tc>
      </w:tr>
      <w:tr w:rsidR="00E850E7" w:rsidRPr="00191BD0" w14:paraId="52CE5BB0" w14:textId="77777777" w:rsidTr="002D3E3A">
        <w:trPr>
          <w:trHeight w:val="45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E8A727" w14:textId="77777777" w:rsidR="00E850E7" w:rsidRPr="00191BD0" w:rsidRDefault="00E850E7" w:rsidP="00191BD0">
            <w:pPr>
              <w:pStyle w:val="Standard"/>
              <w:spacing w:after="120" w:line="271" w:lineRule="auto"/>
              <w:rPr>
                <w:b/>
                <w:bCs/>
              </w:rPr>
            </w:pPr>
            <w:r w:rsidRPr="00191BD0">
              <w:rPr>
                <w:b/>
                <w:bCs/>
              </w:rPr>
              <w:t>Scope 1</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6188EA" w14:textId="77777777" w:rsidR="00E850E7" w:rsidRPr="00191BD0" w:rsidRDefault="00E850E7" w:rsidP="00191BD0">
            <w:pPr>
              <w:pStyle w:val="Standard"/>
              <w:spacing w:after="120" w:line="271" w:lineRule="auto"/>
              <w:rPr>
                <w:b/>
                <w:bCs/>
              </w:rPr>
            </w:pPr>
            <w:r w:rsidRPr="00191BD0">
              <w:rPr>
                <w:b/>
                <w:bCs/>
              </w:rPr>
              <w:t>98.9</w:t>
            </w:r>
          </w:p>
        </w:tc>
      </w:tr>
      <w:tr w:rsidR="00E850E7" w:rsidRPr="00191BD0" w14:paraId="1EF659C4" w14:textId="77777777" w:rsidTr="002D3E3A">
        <w:trPr>
          <w:trHeight w:val="45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A0513E" w14:textId="4F94B294" w:rsidR="00E850E7" w:rsidRPr="00191BD0" w:rsidRDefault="00E850E7" w:rsidP="00191BD0">
            <w:pPr>
              <w:pStyle w:val="Standard"/>
              <w:spacing w:after="120" w:line="271" w:lineRule="auto"/>
              <w:rPr>
                <w:b/>
                <w:bCs/>
              </w:rPr>
            </w:pPr>
            <w:r w:rsidRPr="00191BD0">
              <w:rPr>
                <w:b/>
                <w:bCs/>
              </w:rPr>
              <w:t>Scope 2</w:t>
            </w:r>
            <w:r w:rsidR="00A82E50" w:rsidRPr="00191BD0">
              <w:rPr>
                <w:b/>
                <w:bCs/>
              </w:rPr>
              <w:t xml:space="preserve"> (location based)</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599D5B" w14:textId="77777777" w:rsidR="00E850E7" w:rsidRPr="00191BD0" w:rsidRDefault="00E850E7" w:rsidP="00191BD0">
            <w:pPr>
              <w:pStyle w:val="Standard"/>
              <w:spacing w:after="120" w:line="271" w:lineRule="auto"/>
              <w:rPr>
                <w:b/>
                <w:bCs/>
              </w:rPr>
            </w:pPr>
            <w:r w:rsidRPr="00191BD0">
              <w:rPr>
                <w:b/>
                <w:bCs/>
              </w:rPr>
              <w:t>226.4</w:t>
            </w:r>
          </w:p>
        </w:tc>
      </w:tr>
      <w:tr w:rsidR="00E850E7" w:rsidRPr="00191BD0" w14:paraId="52D6DADC" w14:textId="77777777" w:rsidTr="001011C2">
        <w:trPr>
          <w:trHeight w:val="144"/>
        </w:trPr>
        <w:tc>
          <w:tcPr>
            <w:tcW w:w="946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DE8666" w14:textId="77777777" w:rsidR="00E850E7" w:rsidRPr="00191BD0" w:rsidRDefault="00E850E7" w:rsidP="00191BD0">
            <w:pPr>
              <w:pStyle w:val="Standard"/>
              <w:spacing w:after="120" w:line="271" w:lineRule="auto"/>
              <w:rPr>
                <w:b/>
                <w:bCs/>
              </w:rPr>
            </w:pPr>
            <w:r w:rsidRPr="00191BD0">
              <w:rPr>
                <w:b/>
                <w:bCs/>
              </w:rPr>
              <w:t>Scope 3 (Included Sources)</w:t>
            </w:r>
          </w:p>
        </w:tc>
      </w:tr>
      <w:tr w:rsidR="00E850E7" w:rsidRPr="00191BD0" w14:paraId="66F6E30A"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179701AA" w14:textId="77777777" w:rsidR="00E850E7" w:rsidRPr="00191BD0" w:rsidRDefault="00E850E7" w:rsidP="00191BD0">
            <w:pPr>
              <w:pStyle w:val="Standard"/>
              <w:spacing w:after="120" w:line="271" w:lineRule="auto"/>
              <w:rPr>
                <w:b/>
                <w:bCs/>
              </w:rPr>
            </w:pPr>
            <w:r w:rsidRPr="00191BD0">
              <w:rPr>
                <w:b/>
                <w:bCs/>
                <w:color w:val="000000"/>
              </w:rPr>
              <w:t>Scope 3.1 Purchased goods and services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1727A523" w14:textId="178C0791" w:rsidR="00E850E7" w:rsidRPr="00191BD0" w:rsidRDefault="00E850E7" w:rsidP="00191BD0">
            <w:pPr>
              <w:pStyle w:val="Standard"/>
              <w:spacing w:after="120" w:line="271" w:lineRule="auto"/>
              <w:rPr>
                <w:b/>
                <w:bCs/>
              </w:rPr>
            </w:pPr>
            <w:r w:rsidRPr="00191BD0">
              <w:rPr>
                <w:b/>
                <w:bCs/>
                <w:color w:val="000000"/>
              </w:rPr>
              <w:t>3</w:t>
            </w:r>
            <w:r w:rsidR="00550EB7" w:rsidRPr="00191BD0">
              <w:rPr>
                <w:b/>
                <w:bCs/>
                <w:color w:val="000000"/>
              </w:rPr>
              <w:t>,</w:t>
            </w:r>
            <w:r w:rsidRPr="00191BD0">
              <w:rPr>
                <w:b/>
                <w:bCs/>
                <w:color w:val="000000"/>
              </w:rPr>
              <w:t>646.7</w:t>
            </w:r>
          </w:p>
        </w:tc>
      </w:tr>
      <w:tr w:rsidR="00E850E7" w:rsidRPr="00191BD0" w14:paraId="41485327"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2870E0BC" w14:textId="77777777" w:rsidR="00E850E7" w:rsidRPr="00191BD0" w:rsidRDefault="00E850E7" w:rsidP="00191BD0">
            <w:pPr>
              <w:pStyle w:val="Standard"/>
              <w:spacing w:after="120" w:line="271" w:lineRule="auto"/>
              <w:rPr>
                <w:b/>
                <w:bCs/>
              </w:rPr>
            </w:pPr>
            <w:r w:rsidRPr="00191BD0">
              <w:rPr>
                <w:b/>
                <w:bCs/>
                <w:color w:val="000000"/>
              </w:rPr>
              <w:t>Scope 3.2 Capital goods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0D6A4792" w14:textId="77777777" w:rsidR="00E850E7" w:rsidRPr="00191BD0" w:rsidRDefault="00E850E7" w:rsidP="00191BD0">
            <w:pPr>
              <w:pStyle w:val="Standard"/>
              <w:spacing w:after="120" w:line="271" w:lineRule="auto"/>
              <w:rPr>
                <w:b/>
                <w:bCs/>
                <w:color w:val="000000"/>
              </w:rPr>
            </w:pPr>
            <w:r w:rsidRPr="00191BD0">
              <w:rPr>
                <w:b/>
                <w:bCs/>
                <w:color w:val="000000"/>
              </w:rPr>
              <w:t>N/A</w:t>
            </w:r>
          </w:p>
        </w:tc>
      </w:tr>
      <w:tr w:rsidR="00E850E7" w:rsidRPr="00191BD0" w14:paraId="70D287B8"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0EAAD1F8" w14:textId="77777777" w:rsidR="00E850E7" w:rsidRPr="00191BD0" w:rsidRDefault="00E850E7" w:rsidP="00191BD0">
            <w:pPr>
              <w:pStyle w:val="Standard"/>
              <w:spacing w:after="120" w:line="271" w:lineRule="auto"/>
              <w:rPr>
                <w:b/>
                <w:bCs/>
              </w:rPr>
            </w:pPr>
            <w:r w:rsidRPr="00191BD0">
              <w:rPr>
                <w:b/>
                <w:bCs/>
                <w:color w:val="000000"/>
              </w:rPr>
              <w:t>Scope 3.3 Fuel and energy related activities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4A45BF8E" w14:textId="77777777" w:rsidR="00E850E7" w:rsidRPr="00191BD0" w:rsidRDefault="00E850E7" w:rsidP="00191BD0">
            <w:pPr>
              <w:pStyle w:val="Standard"/>
              <w:spacing w:after="120" w:line="271" w:lineRule="auto"/>
              <w:rPr>
                <w:b/>
                <w:bCs/>
              </w:rPr>
            </w:pPr>
            <w:r w:rsidRPr="00191BD0">
              <w:rPr>
                <w:b/>
                <w:bCs/>
                <w:color w:val="000000"/>
              </w:rPr>
              <w:t>2.0</w:t>
            </w:r>
          </w:p>
        </w:tc>
      </w:tr>
      <w:tr w:rsidR="00E850E7" w:rsidRPr="00191BD0" w14:paraId="54B98264"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57AD9594" w14:textId="77777777" w:rsidR="00E850E7" w:rsidRPr="00191BD0" w:rsidRDefault="00E850E7" w:rsidP="00191BD0">
            <w:pPr>
              <w:pStyle w:val="Standard"/>
              <w:spacing w:after="120" w:line="271" w:lineRule="auto"/>
              <w:rPr>
                <w:b/>
                <w:bCs/>
              </w:rPr>
            </w:pPr>
            <w:r w:rsidRPr="00191BD0">
              <w:rPr>
                <w:b/>
                <w:bCs/>
                <w:color w:val="000000"/>
              </w:rPr>
              <w:t>Scope 3.4 Upstream transportation and distribution</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395032CC" w14:textId="77777777" w:rsidR="00E850E7" w:rsidRPr="00191BD0" w:rsidRDefault="00E850E7" w:rsidP="00191BD0">
            <w:pPr>
              <w:pStyle w:val="Standard"/>
              <w:spacing w:after="120" w:line="271" w:lineRule="auto"/>
              <w:rPr>
                <w:b/>
                <w:bCs/>
              </w:rPr>
            </w:pPr>
            <w:r w:rsidRPr="00191BD0">
              <w:rPr>
                <w:b/>
                <w:bCs/>
                <w:color w:val="000000"/>
              </w:rPr>
              <w:t>1.5</w:t>
            </w:r>
          </w:p>
        </w:tc>
      </w:tr>
      <w:tr w:rsidR="00E850E7" w:rsidRPr="00191BD0" w14:paraId="196E3C6D"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6BCC1EB3" w14:textId="77777777" w:rsidR="00E850E7" w:rsidRPr="00191BD0" w:rsidRDefault="00E850E7" w:rsidP="00191BD0">
            <w:pPr>
              <w:pStyle w:val="Standard"/>
              <w:spacing w:after="120" w:line="271" w:lineRule="auto"/>
              <w:rPr>
                <w:b/>
                <w:bCs/>
              </w:rPr>
            </w:pPr>
            <w:r w:rsidRPr="00191BD0">
              <w:rPr>
                <w:b/>
                <w:bCs/>
                <w:color w:val="000000"/>
              </w:rPr>
              <w:lastRenderedPageBreak/>
              <w:t>Scope 3.5 Waste generated in operations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10C2BA35" w14:textId="77777777" w:rsidR="00E850E7" w:rsidRPr="00191BD0" w:rsidRDefault="00E850E7" w:rsidP="00191BD0">
            <w:pPr>
              <w:pStyle w:val="Standard"/>
              <w:spacing w:after="120" w:line="271" w:lineRule="auto"/>
              <w:rPr>
                <w:b/>
                <w:bCs/>
              </w:rPr>
            </w:pPr>
            <w:r w:rsidRPr="00191BD0">
              <w:rPr>
                <w:b/>
                <w:bCs/>
                <w:color w:val="000000"/>
              </w:rPr>
              <w:t>0.7</w:t>
            </w:r>
          </w:p>
        </w:tc>
      </w:tr>
      <w:tr w:rsidR="00E850E7" w:rsidRPr="00191BD0" w14:paraId="4ADF34AA"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3510EBC7" w14:textId="77777777" w:rsidR="00E850E7" w:rsidRPr="00191BD0" w:rsidRDefault="00E850E7" w:rsidP="00191BD0">
            <w:pPr>
              <w:pStyle w:val="Standard"/>
              <w:spacing w:after="120" w:line="271" w:lineRule="auto"/>
              <w:rPr>
                <w:b/>
                <w:bCs/>
              </w:rPr>
            </w:pPr>
            <w:r w:rsidRPr="00191BD0">
              <w:rPr>
                <w:b/>
                <w:bCs/>
                <w:color w:val="000000"/>
              </w:rPr>
              <w:t>Scope 3.6 Business travel (only grey fleet)</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65320463" w14:textId="77777777" w:rsidR="00E850E7" w:rsidRPr="00191BD0" w:rsidRDefault="00E850E7" w:rsidP="00191BD0">
            <w:pPr>
              <w:pStyle w:val="Standard"/>
              <w:spacing w:after="120" w:line="271" w:lineRule="auto"/>
              <w:rPr>
                <w:b/>
                <w:bCs/>
              </w:rPr>
            </w:pPr>
            <w:r w:rsidRPr="00191BD0">
              <w:rPr>
                <w:b/>
                <w:bCs/>
                <w:color w:val="000000"/>
              </w:rPr>
              <w:t>271.2</w:t>
            </w:r>
          </w:p>
        </w:tc>
      </w:tr>
      <w:tr w:rsidR="00E850E7" w:rsidRPr="00191BD0" w14:paraId="315E5C66"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6FF42A68" w14:textId="77777777" w:rsidR="00E850E7" w:rsidRPr="00191BD0" w:rsidRDefault="00E850E7" w:rsidP="00191BD0">
            <w:pPr>
              <w:pStyle w:val="Standard"/>
              <w:spacing w:after="120" w:line="271" w:lineRule="auto"/>
              <w:rPr>
                <w:b/>
                <w:bCs/>
              </w:rPr>
            </w:pPr>
            <w:r w:rsidRPr="00191BD0">
              <w:rPr>
                <w:b/>
                <w:bCs/>
                <w:color w:val="000000"/>
              </w:rPr>
              <w:t>Scope 3.6 Business travel (without grey fleet)</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050BD105" w14:textId="77777777" w:rsidR="00E850E7" w:rsidRPr="00191BD0" w:rsidRDefault="00E850E7" w:rsidP="00191BD0">
            <w:pPr>
              <w:pStyle w:val="Standard"/>
              <w:spacing w:after="120" w:line="271" w:lineRule="auto"/>
              <w:rPr>
                <w:b/>
                <w:bCs/>
              </w:rPr>
            </w:pPr>
            <w:r w:rsidRPr="00191BD0">
              <w:rPr>
                <w:b/>
                <w:bCs/>
                <w:color w:val="000000"/>
              </w:rPr>
              <w:t>360.0</w:t>
            </w:r>
          </w:p>
        </w:tc>
      </w:tr>
      <w:tr w:rsidR="00E850E7" w:rsidRPr="00191BD0" w14:paraId="3E906A86"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0C0B75A5" w14:textId="77777777" w:rsidR="00E850E7" w:rsidRPr="00191BD0" w:rsidRDefault="00E850E7" w:rsidP="00191BD0">
            <w:pPr>
              <w:pStyle w:val="Standard"/>
              <w:spacing w:after="120" w:line="271" w:lineRule="auto"/>
              <w:rPr>
                <w:b/>
                <w:bCs/>
              </w:rPr>
            </w:pPr>
            <w:r w:rsidRPr="00191BD0">
              <w:rPr>
                <w:b/>
                <w:bCs/>
                <w:color w:val="000000"/>
              </w:rPr>
              <w:t>Scope 3.7 Employee commuting</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2EAD0473" w14:textId="77777777" w:rsidR="00E850E7" w:rsidRPr="00191BD0" w:rsidRDefault="00E850E7" w:rsidP="00191BD0">
            <w:pPr>
              <w:pStyle w:val="Standard"/>
              <w:spacing w:after="120" w:line="271" w:lineRule="auto"/>
              <w:rPr>
                <w:b/>
                <w:bCs/>
              </w:rPr>
            </w:pPr>
            <w:r w:rsidRPr="00191BD0">
              <w:rPr>
                <w:b/>
                <w:bCs/>
                <w:color w:val="000000"/>
              </w:rPr>
              <w:t>750.1</w:t>
            </w:r>
          </w:p>
        </w:tc>
      </w:tr>
      <w:tr w:rsidR="00E850E7" w:rsidRPr="00191BD0" w14:paraId="77075789"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455359BE" w14:textId="77777777" w:rsidR="00E850E7" w:rsidRPr="00191BD0" w:rsidRDefault="00E850E7" w:rsidP="00191BD0">
            <w:pPr>
              <w:pStyle w:val="Standard"/>
              <w:spacing w:after="120" w:line="271" w:lineRule="auto"/>
              <w:rPr>
                <w:b/>
                <w:bCs/>
              </w:rPr>
            </w:pPr>
            <w:r w:rsidRPr="00191BD0">
              <w:rPr>
                <w:b/>
                <w:bCs/>
                <w:color w:val="000000"/>
              </w:rPr>
              <w:t>Scope 3.8 Upstream leased assets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29A6974E" w14:textId="77777777" w:rsidR="00E850E7" w:rsidRPr="00191BD0" w:rsidRDefault="00E850E7" w:rsidP="00191BD0">
            <w:pPr>
              <w:pStyle w:val="Standard"/>
              <w:spacing w:after="120" w:line="271" w:lineRule="auto"/>
              <w:rPr>
                <w:b/>
                <w:bCs/>
              </w:rPr>
            </w:pPr>
            <w:r w:rsidRPr="00191BD0">
              <w:rPr>
                <w:b/>
                <w:bCs/>
                <w:color w:val="000000"/>
              </w:rPr>
              <w:t>N/A</w:t>
            </w:r>
          </w:p>
        </w:tc>
      </w:tr>
      <w:tr w:rsidR="00E850E7" w:rsidRPr="00191BD0" w14:paraId="183358A7"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6FB6188E" w14:textId="77777777" w:rsidR="00E850E7" w:rsidRPr="00191BD0" w:rsidRDefault="00E850E7" w:rsidP="00191BD0">
            <w:pPr>
              <w:pStyle w:val="Standard"/>
              <w:spacing w:after="120" w:line="271" w:lineRule="auto"/>
              <w:rPr>
                <w:b/>
                <w:bCs/>
              </w:rPr>
            </w:pPr>
            <w:r w:rsidRPr="00191BD0">
              <w:rPr>
                <w:b/>
                <w:bCs/>
                <w:color w:val="000000"/>
              </w:rPr>
              <w:t>Scope 3.9 Downstream transportation and distribution</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37D8EE1B" w14:textId="77777777" w:rsidR="00E850E7" w:rsidRPr="00191BD0" w:rsidRDefault="00E850E7" w:rsidP="00191BD0">
            <w:pPr>
              <w:pStyle w:val="Standard"/>
              <w:spacing w:after="120" w:line="271" w:lineRule="auto"/>
              <w:rPr>
                <w:b/>
                <w:bCs/>
              </w:rPr>
            </w:pPr>
            <w:r w:rsidRPr="00191BD0">
              <w:rPr>
                <w:b/>
                <w:bCs/>
                <w:color w:val="000000"/>
              </w:rPr>
              <w:t>N/A</w:t>
            </w:r>
          </w:p>
        </w:tc>
      </w:tr>
      <w:tr w:rsidR="00E850E7" w:rsidRPr="00191BD0" w14:paraId="3CAD2DBB"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04DCC627" w14:textId="77777777" w:rsidR="00E850E7" w:rsidRPr="00191BD0" w:rsidRDefault="00E850E7" w:rsidP="00191BD0">
            <w:pPr>
              <w:pStyle w:val="Standard"/>
              <w:spacing w:after="120" w:line="271" w:lineRule="auto"/>
              <w:rPr>
                <w:b/>
                <w:bCs/>
              </w:rPr>
            </w:pPr>
            <w:r w:rsidRPr="00191BD0">
              <w:rPr>
                <w:b/>
                <w:bCs/>
                <w:color w:val="000000"/>
              </w:rPr>
              <w:t>Scope 3.10 Processing of sold products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24AA8496" w14:textId="77777777" w:rsidR="00E850E7" w:rsidRPr="00191BD0" w:rsidRDefault="00E850E7" w:rsidP="00191BD0">
            <w:pPr>
              <w:pStyle w:val="Standard"/>
              <w:spacing w:after="120" w:line="271" w:lineRule="auto"/>
              <w:rPr>
                <w:b/>
                <w:bCs/>
              </w:rPr>
            </w:pPr>
            <w:r w:rsidRPr="00191BD0">
              <w:rPr>
                <w:b/>
                <w:bCs/>
                <w:color w:val="000000"/>
              </w:rPr>
              <w:t>N/A</w:t>
            </w:r>
          </w:p>
        </w:tc>
      </w:tr>
      <w:tr w:rsidR="00E850E7" w:rsidRPr="00191BD0" w14:paraId="6D4DD547"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5AC04476" w14:textId="77777777" w:rsidR="00E850E7" w:rsidRPr="00191BD0" w:rsidRDefault="00E850E7" w:rsidP="00191BD0">
            <w:pPr>
              <w:pStyle w:val="Standard"/>
              <w:spacing w:after="120" w:line="271" w:lineRule="auto"/>
              <w:rPr>
                <w:b/>
                <w:bCs/>
              </w:rPr>
            </w:pPr>
            <w:r w:rsidRPr="00191BD0">
              <w:rPr>
                <w:b/>
                <w:bCs/>
                <w:color w:val="000000"/>
              </w:rPr>
              <w:t>Scope 3.11 Use of sold products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1D0F416E" w14:textId="77777777" w:rsidR="00E850E7" w:rsidRPr="00191BD0" w:rsidRDefault="00E850E7" w:rsidP="00191BD0">
            <w:pPr>
              <w:pStyle w:val="Standard"/>
              <w:spacing w:after="120" w:line="271" w:lineRule="auto"/>
              <w:rPr>
                <w:b/>
                <w:bCs/>
              </w:rPr>
            </w:pPr>
            <w:r w:rsidRPr="00191BD0">
              <w:rPr>
                <w:b/>
                <w:bCs/>
                <w:color w:val="000000"/>
              </w:rPr>
              <w:t>N/A</w:t>
            </w:r>
          </w:p>
        </w:tc>
      </w:tr>
      <w:tr w:rsidR="00E850E7" w:rsidRPr="00191BD0" w14:paraId="05E6B1B8"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5DFBE719" w14:textId="77777777" w:rsidR="00E850E7" w:rsidRPr="00191BD0" w:rsidRDefault="00E850E7" w:rsidP="00191BD0">
            <w:pPr>
              <w:pStyle w:val="Standard"/>
              <w:spacing w:after="120" w:line="271" w:lineRule="auto"/>
              <w:rPr>
                <w:b/>
                <w:bCs/>
              </w:rPr>
            </w:pPr>
            <w:r w:rsidRPr="00191BD0">
              <w:rPr>
                <w:b/>
                <w:bCs/>
                <w:color w:val="000000"/>
              </w:rPr>
              <w:t>Scope 3.12 End-of-life treatment of sold products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23DD8FE9" w14:textId="77777777" w:rsidR="00E850E7" w:rsidRPr="00191BD0" w:rsidRDefault="00E850E7" w:rsidP="00191BD0">
            <w:pPr>
              <w:pStyle w:val="Standard"/>
              <w:spacing w:after="120" w:line="271" w:lineRule="auto"/>
              <w:rPr>
                <w:b/>
                <w:bCs/>
              </w:rPr>
            </w:pPr>
            <w:r w:rsidRPr="00191BD0">
              <w:rPr>
                <w:b/>
                <w:bCs/>
                <w:color w:val="000000"/>
              </w:rPr>
              <w:t>N/A</w:t>
            </w:r>
          </w:p>
        </w:tc>
      </w:tr>
      <w:tr w:rsidR="00E850E7" w:rsidRPr="00191BD0" w14:paraId="40479169"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7E3C8BAC" w14:textId="77777777" w:rsidR="00E850E7" w:rsidRPr="00191BD0" w:rsidRDefault="00E850E7" w:rsidP="00191BD0">
            <w:pPr>
              <w:pStyle w:val="Standard"/>
              <w:spacing w:after="120" w:line="271" w:lineRule="auto"/>
              <w:rPr>
                <w:b/>
                <w:bCs/>
                <w:color w:val="000000"/>
              </w:rPr>
            </w:pPr>
            <w:r w:rsidRPr="00191BD0">
              <w:rPr>
                <w:b/>
                <w:bCs/>
                <w:color w:val="000000"/>
              </w:rPr>
              <w:t>Scope 3.13 Downstream leased assets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73C74FA6" w14:textId="77777777" w:rsidR="00E850E7" w:rsidRPr="00191BD0" w:rsidRDefault="00E850E7" w:rsidP="00191BD0">
            <w:pPr>
              <w:pStyle w:val="Standard"/>
              <w:spacing w:after="120" w:line="271" w:lineRule="auto"/>
              <w:rPr>
                <w:b/>
                <w:bCs/>
              </w:rPr>
            </w:pPr>
            <w:r w:rsidRPr="00191BD0">
              <w:rPr>
                <w:b/>
                <w:bCs/>
                <w:color w:val="000000"/>
              </w:rPr>
              <w:t>N/A</w:t>
            </w:r>
          </w:p>
        </w:tc>
      </w:tr>
      <w:tr w:rsidR="00E850E7" w:rsidRPr="00191BD0" w14:paraId="40E4515A"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14A23799" w14:textId="77777777" w:rsidR="00E850E7" w:rsidRPr="00191BD0" w:rsidRDefault="00E850E7" w:rsidP="00191BD0">
            <w:pPr>
              <w:pStyle w:val="Standard"/>
              <w:spacing w:after="120" w:line="271" w:lineRule="auto"/>
              <w:rPr>
                <w:b/>
                <w:bCs/>
                <w:color w:val="000000"/>
              </w:rPr>
            </w:pPr>
            <w:r w:rsidRPr="00191BD0">
              <w:rPr>
                <w:b/>
                <w:bCs/>
                <w:color w:val="000000"/>
              </w:rPr>
              <w:t>Scope 3.14 Franchises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2E3BA2E1" w14:textId="77777777" w:rsidR="00E850E7" w:rsidRPr="00191BD0" w:rsidRDefault="00E850E7" w:rsidP="00191BD0">
            <w:pPr>
              <w:pStyle w:val="Standard"/>
              <w:spacing w:after="120" w:line="271" w:lineRule="auto"/>
              <w:rPr>
                <w:b/>
                <w:bCs/>
              </w:rPr>
            </w:pPr>
            <w:r w:rsidRPr="00191BD0">
              <w:rPr>
                <w:b/>
                <w:bCs/>
                <w:color w:val="000000"/>
              </w:rPr>
              <w:t>N/A</w:t>
            </w:r>
          </w:p>
        </w:tc>
      </w:tr>
      <w:tr w:rsidR="00E850E7" w:rsidRPr="00191BD0" w14:paraId="27554E86"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1211CBB4" w14:textId="77777777" w:rsidR="00E850E7" w:rsidRPr="00191BD0" w:rsidRDefault="00E850E7" w:rsidP="00191BD0">
            <w:pPr>
              <w:pStyle w:val="Standard"/>
              <w:spacing w:after="120" w:line="271" w:lineRule="auto"/>
              <w:rPr>
                <w:b/>
                <w:bCs/>
              </w:rPr>
            </w:pPr>
            <w:r w:rsidRPr="00191BD0">
              <w:rPr>
                <w:b/>
                <w:bCs/>
                <w:color w:val="000000"/>
              </w:rPr>
              <w:t>Scope 3.15 Investments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14:paraId="4FC08258" w14:textId="77777777" w:rsidR="00E850E7" w:rsidRPr="00191BD0" w:rsidRDefault="00E850E7" w:rsidP="00191BD0">
            <w:pPr>
              <w:pStyle w:val="Standard"/>
              <w:spacing w:after="120" w:line="271" w:lineRule="auto"/>
              <w:rPr>
                <w:b/>
                <w:bCs/>
              </w:rPr>
            </w:pPr>
            <w:r w:rsidRPr="00191BD0">
              <w:rPr>
                <w:b/>
                <w:bCs/>
                <w:color w:val="000000"/>
              </w:rPr>
              <w:t>N/A</w:t>
            </w:r>
          </w:p>
        </w:tc>
      </w:tr>
      <w:tr w:rsidR="00E850E7" w:rsidRPr="00191BD0" w14:paraId="270F13A4" w14:textId="77777777" w:rsidTr="002D3E3A">
        <w:trPr>
          <w:trHeight w:val="585"/>
        </w:trPr>
        <w:tc>
          <w:tcPr>
            <w:tcW w:w="49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B23B61" w14:textId="77777777" w:rsidR="00E850E7" w:rsidRPr="00191BD0" w:rsidRDefault="00E850E7" w:rsidP="00191BD0">
            <w:pPr>
              <w:pStyle w:val="Standard"/>
              <w:spacing w:after="120" w:line="271" w:lineRule="auto"/>
              <w:rPr>
                <w:b/>
                <w:bCs/>
              </w:rPr>
            </w:pPr>
            <w:r w:rsidRPr="00191BD0">
              <w:rPr>
                <w:b/>
                <w:bCs/>
              </w:rPr>
              <w:t>Total Emissions</w:t>
            </w:r>
          </w:p>
        </w:tc>
        <w:tc>
          <w:tcPr>
            <w:tcW w:w="45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9CC3C4" w14:textId="720B00CB" w:rsidR="00E850E7" w:rsidRPr="00191BD0" w:rsidRDefault="00E850E7" w:rsidP="00191BD0">
            <w:pPr>
              <w:rPr>
                <w:b/>
                <w:bCs/>
                <w:color w:val="000000"/>
              </w:rPr>
            </w:pPr>
            <w:r w:rsidRPr="00191BD0">
              <w:rPr>
                <w:b/>
                <w:bCs/>
                <w:color w:val="000000"/>
              </w:rPr>
              <w:t>5</w:t>
            </w:r>
            <w:r w:rsidR="00550EB7" w:rsidRPr="00191BD0">
              <w:rPr>
                <w:b/>
                <w:bCs/>
                <w:color w:val="000000"/>
              </w:rPr>
              <w:t>,</w:t>
            </w:r>
            <w:r w:rsidRPr="00191BD0">
              <w:rPr>
                <w:b/>
                <w:bCs/>
                <w:color w:val="000000"/>
              </w:rPr>
              <w:t>357.5</w:t>
            </w:r>
          </w:p>
        </w:tc>
      </w:tr>
    </w:tbl>
    <w:p w14:paraId="413E1F78" w14:textId="77777777" w:rsidR="009212A0" w:rsidRPr="00191BD0" w:rsidRDefault="009212A0" w:rsidP="00191BD0">
      <w:pPr>
        <w:pStyle w:val="Standard"/>
        <w:rPr>
          <w:b/>
        </w:rPr>
      </w:pPr>
    </w:p>
    <w:p w14:paraId="579E1EB4" w14:textId="09B50821" w:rsidR="009212A0" w:rsidRPr="00191BD0" w:rsidRDefault="009212A0" w:rsidP="00191BD0">
      <w:pPr>
        <w:pStyle w:val="Standard"/>
      </w:pPr>
      <w:r w:rsidRPr="00191BD0">
        <w:t xml:space="preserve">Scopes 3.2, 3.8, 3.9, 3.10, 3.11, 3.12, 3.13, 3.14, 3.15 </w:t>
      </w:r>
      <w:r w:rsidR="00191BD0">
        <w:t>are either non</w:t>
      </w:r>
      <w:r w:rsidR="00191BD0" w:rsidRPr="00191BD0">
        <w:t>-applicable</w:t>
      </w:r>
      <w:r w:rsidRPr="00191BD0">
        <w:t xml:space="preserve"> </w:t>
      </w:r>
      <w:r w:rsidR="00191BD0">
        <w:t>to</w:t>
      </w:r>
      <w:r w:rsidRPr="00191BD0">
        <w:t xml:space="preserve"> </w:t>
      </w:r>
      <w:r w:rsidR="00191BD0">
        <w:t>LSH</w:t>
      </w:r>
      <w:r w:rsidRPr="00191BD0">
        <w:t xml:space="preserve"> </w:t>
      </w:r>
      <w:r w:rsidR="00191BD0">
        <w:t>o</w:t>
      </w:r>
      <w:r w:rsidR="00B105AB" w:rsidRPr="00191BD0">
        <w:t xml:space="preserve">r </w:t>
      </w:r>
      <w:r w:rsidR="00191BD0">
        <w:t>have been</w:t>
      </w:r>
      <w:r w:rsidR="00B105AB" w:rsidRPr="00191BD0">
        <w:t xml:space="preserve"> captured </w:t>
      </w:r>
      <w:r w:rsidR="00191BD0">
        <w:t xml:space="preserve">in </w:t>
      </w:r>
      <w:r w:rsidR="00B105AB" w:rsidRPr="00191BD0">
        <w:t>other sub-categories.</w:t>
      </w:r>
      <w:r w:rsidR="00191BD0">
        <w:t xml:space="preserve"> Further details available upon request. </w:t>
      </w:r>
    </w:p>
    <w:p w14:paraId="4EDDB2DF" w14:textId="4EE38990" w:rsidR="009212A0" w:rsidRPr="00191BD0" w:rsidRDefault="009212A0" w:rsidP="00191BD0">
      <w:pPr>
        <w:pStyle w:val="Standard"/>
      </w:pPr>
    </w:p>
    <w:p w14:paraId="47DB9365" w14:textId="77777777" w:rsidR="009212A0" w:rsidRPr="00191BD0" w:rsidRDefault="009212A0" w:rsidP="00191BD0">
      <w:pPr>
        <w:pStyle w:val="Standard"/>
      </w:pPr>
    </w:p>
    <w:p w14:paraId="6F6532A1" w14:textId="2D1DD8E1" w:rsidR="007658E8" w:rsidRPr="00191BD0" w:rsidRDefault="0070322C" w:rsidP="00191BD0">
      <w:pPr>
        <w:pStyle w:val="Heading1"/>
        <w:keepNext w:val="0"/>
        <w:keepLines w:val="0"/>
        <w:spacing w:before="0" w:line="268" w:lineRule="auto"/>
        <w:rPr>
          <w:sz w:val="22"/>
          <w:szCs w:val="22"/>
        </w:rPr>
      </w:pPr>
      <w:bookmarkStart w:id="3" w:name="_heading=h.2et92p0"/>
      <w:bookmarkEnd w:id="3"/>
      <w:r w:rsidRPr="00191BD0">
        <w:rPr>
          <w:b/>
          <w:sz w:val="22"/>
          <w:szCs w:val="22"/>
        </w:rPr>
        <w:t>Emissions reduction targets</w:t>
      </w:r>
      <w:bookmarkStart w:id="4" w:name="_heading=h.tyjcwt"/>
      <w:bookmarkEnd w:id="4"/>
    </w:p>
    <w:p w14:paraId="33C18234" w14:textId="77777777" w:rsidR="00AD3785" w:rsidRPr="00191BD0" w:rsidRDefault="00AD3785" w:rsidP="00191BD0">
      <w:pPr>
        <w:pStyle w:val="Heading1"/>
        <w:spacing w:before="0" w:line="268" w:lineRule="auto"/>
        <w:rPr>
          <w:sz w:val="22"/>
          <w:szCs w:val="22"/>
        </w:rPr>
      </w:pPr>
      <w:bookmarkStart w:id="5" w:name="_heading=h.4d34og8"/>
      <w:bookmarkEnd w:id="5"/>
      <w:r w:rsidRPr="00191BD0">
        <w:rPr>
          <w:sz w:val="22"/>
          <w:szCs w:val="22"/>
        </w:rPr>
        <w:lastRenderedPageBreak/>
        <w:t>​To advance our commitment to achieving Net Zero, Lambert Smith Hampton (LSH) has established the following science-based carbon reduction targets:​</w:t>
      </w:r>
    </w:p>
    <w:p w14:paraId="21ACDBCF" w14:textId="77777777" w:rsidR="00AD3785" w:rsidRPr="00191BD0" w:rsidRDefault="00AD3785" w:rsidP="00191BD0">
      <w:pPr>
        <w:pStyle w:val="Heading1"/>
        <w:numPr>
          <w:ilvl w:val="0"/>
          <w:numId w:val="15"/>
        </w:numPr>
        <w:spacing w:before="0" w:line="268" w:lineRule="auto"/>
        <w:rPr>
          <w:sz w:val="22"/>
          <w:szCs w:val="22"/>
        </w:rPr>
      </w:pPr>
      <w:r w:rsidRPr="00191BD0">
        <w:rPr>
          <w:sz w:val="22"/>
          <w:szCs w:val="22"/>
        </w:rPr>
        <w:t>95% absolute reduction in Scope 1 and 2 emissions by 2030, using a 2020 baseline.​</w:t>
      </w:r>
    </w:p>
    <w:p w14:paraId="7F7962A5" w14:textId="4C22B669" w:rsidR="00AD3785" w:rsidRPr="00191BD0" w:rsidRDefault="00AD3785" w:rsidP="00191BD0">
      <w:pPr>
        <w:pStyle w:val="Heading1"/>
        <w:numPr>
          <w:ilvl w:val="0"/>
          <w:numId w:val="15"/>
        </w:numPr>
        <w:spacing w:before="0" w:line="268" w:lineRule="auto"/>
        <w:rPr>
          <w:sz w:val="22"/>
          <w:szCs w:val="22"/>
        </w:rPr>
      </w:pPr>
      <w:r w:rsidRPr="00191BD0">
        <w:rPr>
          <w:sz w:val="22"/>
          <w:szCs w:val="22"/>
        </w:rPr>
        <w:t xml:space="preserve">50% reduction in Scope 3 emissions by 2030, against a 2021 baseline. </w:t>
      </w:r>
    </w:p>
    <w:p w14:paraId="6ECA5AF6" w14:textId="6277518E" w:rsidR="00AD3785" w:rsidRPr="00191BD0" w:rsidRDefault="00AD3785" w:rsidP="00191BD0">
      <w:pPr>
        <w:pStyle w:val="Heading1"/>
        <w:spacing w:before="0" w:line="268" w:lineRule="auto"/>
        <w:rPr>
          <w:sz w:val="22"/>
          <w:szCs w:val="22"/>
        </w:rPr>
      </w:pPr>
      <w:r w:rsidRPr="00191BD0">
        <w:rPr>
          <w:sz w:val="22"/>
          <w:szCs w:val="22"/>
        </w:rPr>
        <w:t xml:space="preserve">These targets align with the Science Based Targets initiative (SBTi) 1.5°C pathway and are integral to our overarching goal of reaching Net Zero across our value chain by 2040. ​ </w:t>
      </w:r>
    </w:p>
    <w:p w14:paraId="6410757E" w14:textId="60FDEE10" w:rsidR="00AD3785" w:rsidRPr="00191BD0" w:rsidRDefault="00AD3785" w:rsidP="00191BD0">
      <w:pPr>
        <w:pStyle w:val="Heading1"/>
        <w:spacing w:before="0" w:line="268" w:lineRule="auto"/>
        <w:rPr>
          <w:sz w:val="22"/>
          <w:szCs w:val="22"/>
        </w:rPr>
      </w:pPr>
      <w:r w:rsidRPr="00191BD0">
        <w:rPr>
          <w:sz w:val="22"/>
          <w:szCs w:val="22"/>
        </w:rPr>
        <w:t xml:space="preserve">Progress towards these objectives is independently verified through Planet Mark, ensuring transparency and adherence to best practices in carbon accounting. ​ </w:t>
      </w:r>
    </w:p>
    <w:p w14:paraId="6F6532AD" w14:textId="3C7AFBB1" w:rsidR="007658E8" w:rsidRPr="00191BD0" w:rsidRDefault="00AD3785" w:rsidP="00191BD0">
      <w:pPr>
        <w:pStyle w:val="Heading1"/>
        <w:spacing w:before="0" w:line="268" w:lineRule="auto"/>
        <w:rPr>
          <w:sz w:val="22"/>
          <w:szCs w:val="22"/>
        </w:rPr>
      </w:pPr>
      <w:r w:rsidRPr="00191BD0">
        <w:rPr>
          <w:sz w:val="22"/>
          <w:szCs w:val="22"/>
        </w:rPr>
        <w:t>We are implementing a comprehensive Net Zero strategy that includes energy efficiency measures, sustainable procurement practices, and stakeholder engagement to drive emissions reductions across all scope</w:t>
      </w:r>
      <w:bookmarkStart w:id="6" w:name="_heading=h.17dp8vu"/>
      <w:bookmarkStart w:id="7" w:name="_heading=h.3rdcrjn"/>
      <w:bookmarkStart w:id="8" w:name="_heading=h.26in1rg"/>
      <w:bookmarkStart w:id="9" w:name="_heading=h.lnxbz9"/>
      <w:bookmarkStart w:id="10" w:name="_heading=h.35nkun2"/>
      <w:bookmarkStart w:id="11" w:name="_heading=h.1ksv4uv"/>
      <w:bookmarkStart w:id="12" w:name="_heading=h.44sinio"/>
      <w:bookmarkStart w:id="13" w:name="_heading=h.2jxsxqh"/>
      <w:bookmarkStart w:id="14" w:name="_heading=h.z337ya"/>
      <w:bookmarkStart w:id="15" w:name="_heading=h.3j2qqm3"/>
      <w:bookmarkEnd w:id="6"/>
      <w:bookmarkEnd w:id="7"/>
      <w:bookmarkEnd w:id="8"/>
      <w:bookmarkEnd w:id="9"/>
      <w:bookmarkEnd w:id="10"/>
      <w:bookmarkEnd w:id="11"/>
      <w:bookmarkEnd w:id="12"/>
      <w:bookmarkEnd w:id="13"/>
      <w:bookmarkEnd w:id="14"/>
      <w:bookmarkEnd w:id="15"/>
      <w:r w:rsidR="00C15433" w:rsidRPr="00191BD0">
        <w:rPr>
          <w:sz w:val="22"/>
          <w:szCs w:val="22"/>
        </w:rPr>
        <w:t xml:space="preserve">. </w:t>
      </w:r>
    </w:p>
    <w:p w14:paraId="6F6532B4" w14:textId="77777777" w:rsidR="007658E8" w:rsidRPr="00191BD0" w:rsidRDefault="0070322C" w:rsidP="00191BD0">
      <w:pPr>
        <w:pStyle w:val="Heading1"/>
        <w:spacing w:before="360" w:line="244" w:lineRule="auto"/>
        <w:rPr>
          <w:sz w:val="22"/>
          <w:szCs w:val="22"/>
        </w:rPr>
      </w:pPr>
      <w:bookmarkStart w:id="16" w:name="_heading=h.1y810tw"/>
      <w:bookmarkStart w:id="17" w:name="_heading=h.qsh70q"/>
      <w:bookmarkEnd w:id="16"/>
      <w:bookmarkEnd w:id="17"/>
      <w:r w:rsidRPr="00191BD0">
        <w:rPr>
          <w:b/>
          <w:sz w:val="22"/>
          <w:szCs w:val="22"/>
        </w:rPr>
        <w:t>Carbon Reduction Projects</w:t>
      </w:r>
    </w:p>
    <w:p w14:paraId="6F6532B5" w14:textId="77777777" w:rsidR="007658E8" w:rsidRPr="00191BD0" w:rsidRDefault="0070322C" w:rsidP="00191BD0">
      <w:pPr>
        <w:pStyle w:val="Heading3"/>
        <w:spacing w:line="244" w:lineRule="auto"/>
        <w:rPr>
          <w:b/>
          <w:bCs/>
          <w:sz w:val="22"/>
          <w:szCs w:val="22"/>
        </w:rPr>
      </w:pPr>
      <w:bookmarkStart w:id="18" w:name="_heading=h.3as4poj"/>
      <w:bookmarkEnd w:id="18"/>
      <w:r w:rsidRPr="00191BD0">
        <w:rPr>
          <w:b/>
          <w:bCs/>
          <w:sz w:val="22"/>
          <w:szCs w:val="22"/>
        </w:rPr>
        <w:t>Completed Carbon Reduction Initiatives</w:t>
      </w:r>
    </w:p>
    <w:p w14:paraId="4140F9A7" w14:textId="77777777" w:rsidR="00C47124" w:rsidRPr="00191BD0" w:rsidRDefault="0070322C" w:rsidP="00191BD0">
      <w:pPr>
        <w:pStyle w:val="Standard"/>
        <w:spacing w:after="140" w:line="268" w:lineRule="auto"/>
      </w:pPr>
      <w:r w:rsidRPr="00191BD0">
        <w:t>The following environmental management measures and projects have been completed or implemented since the 20</w:t>
      </w:r>
      <w:r w:rsidR="00E850E7" w:rsidRPr="00191BD0">
        <w:t>23</w:t>
      </w:r>
      <w:r w:rsidRPr="00191BD0">
        <w:t xml:space="preserve"> baseline. The carbon emission reduction achieved by these schemes equate to</w:t>
      </w:r>
      <w:r w:rsidR="007E12CA" w:rsidRPr="00191BD0">
        <w:t xml:space="preserve"> 113.86</w:t>
      </w:r>
      <w:r w:rsidRPr="00191BD0">
        <w:t xml:space="preserve"> tCO</w:t>
      </w:r>
      <w:r w:rsidRPr="00191BD0">
        <w:rPr>
          <w:vertAlign w:val="subscript"/>
        </w:rPr>
        <w:t>2</w:t>
      </w:r>
      <w:r w:rsidRPr="00191BD0">
        <w:t xml:space="preserve">e, a </w:t>
      </w:r>
      <w:r w:rsidR="007E12CA" w:rsidRPr="00191BD0">
        <w:t>16%</w:t>
      </w:r>
      <w:r w:rsidRPr="00191BD0">
        <w:t xml:space="preserve"> reduction against the 2</w:t>
      </w:r>
      <w:r w:rsidR="007E12CA" w:rsidRPr="00191BD0">
        <w:t xml:space="preserve">023 </w:t>
      </w:r>
      <w:r w:rsidRPr="00191BD0">
        <w:t>baseline and the measures will be in effect when performing the contract</w:t>
      </w:r>
      <w:r w:rsidR="00C47124" w:rsidRPr="00191BD0">
        <w:t xml:space="preserve">. </w:t>
      </w:r>
    </w:p>
    <w:p w14:paraId="3928F60B" w14:textId="77777777" w:rsidR="00A82E50" w:rsidRPr="00191BD0" w:rsidRDefault="00A82E50" w:rsidP="00191BD0">
      <w:pPr>
        <w:pStyle w:val="Default"/>
        <w:rPr>
          <w:sz w:val="22"/>
          <w:szCs w:val="22"/>
        </w:rPr>
      </w:pPr>
      <w:r w:rsidRPr="00191BD0">
        <w:rPr>
          <w:sz w:val="22"/>
          <w:szCs w:val="22"/>
        </w:rPr>
        <w:t>Since establishing our baseline, our initiatives have primarily focused on mitigating emissions from our two largest sources: buildings and travel. Additionally, we have enhanced engagement with our supply chain to drive sustainability improvements.</w:t>
      </w:r>
    </w:p>
    <w:p w14:paraId="01C25BED" w14:textId="77777777" w:rsidR="00A82E50" w:rsidRPr="00191BD0" w:rsidRDefault="00A82E50" w:rsidP="00191BD0">
      <w:pPr>
        <w:pStyle w:val="Default"/>
        <w:rPr>
          <w:sz w:val="22"/>
          <w:szCs w:val="22"/>
        </w:rPr>
      </w:pPr>
    </w:p>
    <w:p w14:paraId="7373D178" w14:textId="184D50C4" w:rsidR="00A82E50" w:rsidRPr="00191BD0" w:rsidRDefault="00A82E50" w:rsidP="00191BD0">
      <w:pPr>
        <w:pStyle w:val="Default"/>
        <w:rPr>
          <w:b/>
          <w:bCs/>
          <w:sz w:val="22"/>
          <w:szCs w:val="22"/>
        </w:rPr>
      </w:pPr>
      <w:r w:rsidRPr="00191BD0">
        <w:rPr>
          <w:b/>
          <w:bCs/>
          <w:sz w:val="22"/>
          <w:szCs w:val="22"/>
        </w:rPr>
        <w:t>Buildings</w:t>
      </w:r>
    </w:p>
    <w:p w14:paraId="01F88859" w14:textId="77777777" w:rsidR="00A82E50" w:rsidRPr="00191BD0" w:rsidRDefault="00A82E50" w:rsidP="00191BD0">
      <w:pPr>
        <w:pStyle w:val="Default"/>
        <w:rPr>
          <w:b/>
          <w:bCs/>
          <w:sz w:val="22"/>
          <w:szCs w:val="22"/>
        </w:rPr>
      </w:pPr>
    </w:p>
    <w:p w14:paraId="3D37E1C1" w14:textId="13B0D56E" w:rsidR="00A82E50" w:rsidRPr="00191BD0" w:rsidRDefault="00A82E50" w:rsidP="00191BD0">
      <w:pPr>
        <w:pStyle w:val="Default"/>
        <w:numPr>
          <w:ilvl w:val="0"/>
          <w:numId w:val="10"/>
        </w:numPr>
        <w:rPr>
          <w:sz w:val="22"/>
          <w:szCs w:val="22"/>
        </w:rPr>
      </w:pPr>
      <w:r w:rsidRPr="00191BD0">
        <w:rPr>
          <w:b/>
          <w:bCs/>
          <w:sz w:val="22"/>
          <w:szCs w:val="22"/>
        </w:rPr>
        <w:t>Sustainable Office Criteria</w:t>
      </w:r>
      <w:r w:rsidRPr="00191BD0">
        <w:rPr>
          <w:sz w:val="22"/>
          <w:szCs w:val="22"/>
        </w:rPr>
        <w:br/>
        <w:t>We introduced a Sustainable Office Criteria questionnaire to ensure all prospective office spaces align with our sustainability objectives. This assessment rewards environmentally responsible features, such as electricity sourced from Renewable Energy Guarantees of Origin (REGO) and facilities that encourage active commuting (e.g., showers and bicycle storage). Offices with gas supplies are automatically disqualified to align with our decarbonization strategy.</w:t>
      </w:r>
    </w:p>
    <w:p w14:paraId="23DC7804" w14:textId="77777777" w:rsidR="00A82E50" w:rsidRPr="00191BD0" w:rsidRDefault="00A82E50" w:rsidP="00191BD0">
      <w:pPr>
        <w:pStyle w:val="Default"/>
        <w:numPr>
          <w:ilvl w:val="0"/>
          <w:numId w:val="10"/>
        </w:numPr>
        <w:rPr>
          <w:sz w:val="22"/>
          <w:szCs w:val="22"/>
        </w:rPr>
      </w:pPr>
      <w:r w:rsidRPr="00191BD0">
        <w:rPr>
          <w:b/>
          <w:bCs/>
          <w:sz w:val="22"/>
          <w:szCs w:val="22"/>
        </w:rPr>
        <w:t>Energy Efficiency Programme</w:t>
      </w:r>
      <w:r w:rsidRPr="00191BD0">
        <w:rPr>
          <w:sz w:val="22"/>
          <w:szCs w:val="22"/>
        </w:rPr>
        <w:br/>
        <w:t>We have implemented energy efficiency measures across multiple office locations, including the installation of LED lighting and IoT-enabled plant room monitoring systems. These technologies enhance our ability to monitor energy consumption in real time and implement targeted efficiency improvements—an approach we already provide as a service to our clients.</w:t>
      </w:r>
    </w:p>
    <w:p w14:paraId="5BF4EF31" w14:textId="77777777" w:rsidR="00A82E50" w:rsidRPr="00191BD0" w:rsidRDefault="00A82E50" w:rsidP="00191BD0">
      <w:pPr>
        <w:pStyle w:val="Default"/>
        <w:numPr>
          <w:ilvl w:val="0"/>
          <w:numId w:val="10"/>
        </w:numPr>
        <w:rPr>
          <w:sz w:val="22"/>
          <w:szCs w:val="22"/>
        </w:rPr>
      </w:pPr>
      <w:r w:rsidRPr="00191BD0">
        <w:rPr>
          <w:b/>
          <w:bCs/>
          <w:sz w:val="22"/>
          <w:szCs w:val="22"/>
        </w:rPr>
        <w:t>Landlord Engagement</w:t>
      </w:r>
      <w:r w:rsidRPr="00191BD0">
        <w:rPr>
          <w:sz w:val="22"/>
          <w:szCs w:val="22"/>
        </w:rPr>
        <w:br/>
        <w:t>Building upon our baseline data collection, we leveraged our insights to engage with office landlords, emphasizing the legal, financial, and ethical imperatives of sustainability. We have actively encouraged interventions such as sourcing REGO-backed electricity, improving data transparency, eliminating gas supplies, and integrating renewable energy solutions like solar panels to reduce their carbon footprint.</w:t>
      </w:r>
    </w:p>
    <w:p w14:paraId="19B9C2B1" w14:textId="77777777" w:rsidR="00A82E50" w:rsidRPr="00191BD0" w:rsidRDefault="00A82E50" w:rsidP="00191BD0">
      <w:pPr>
        <w:pStyle w:val="Default"/>
        <w:rPr>
          <w:b/>
          <w:bCs/>
          <w:sz w:val="22"/>
          <w:szCs w:val="22"/>
        </w:rPr>
      </w:pPr>
    </w:p>
    <w:p w14:paraId="48527018" w14:textId="77777777" w:rsidR="00A82E50" w:rsidRPr="00191BD0" w:rsidRDefault="00A82E50" w:rsidP="00191BD0">
      <w:pPr>
        <w:pStyle w:val="Default"/>
        <w:rPr>
          <w:b/>
          <w:bCs/>
          <w:sz w:val="22"/>
          <w:szCs w:val="22"/>
        </w:rPr>
      </w:pPr>
    </w:p>
    <w:p w14:paraId="5E891E6A" w14:textId="631E3A91" w:rsidR="00A82E50" w:rsidRPr="00191BD0" w:rsidRDefault="00A82E50" w:rsidP="00191BD0">
      <w:pPr>
        <w:pStyle w:val="Default"/>
        <w:rPr>
          <w:b/>
          <w:bCs/>
          <w:sz w:val="22"/>
          <w:szCs w:val="22"/>
        </w:rPr>
      </w:pPr>
      <w:r w:rsidRPr="00191BD0">
        <w:rPr>
          <w:b/>
          <w:bCs/>
          <w:sz w:val="22"/>
          <w:szCs w:val="22"/>
        </w:rPr>
        <w:t>Travel</w:t>
      </w:r>
    </w:p>
    <w:p w14:paraId="606F4567" w14:textId="77777777" w:rsidR="00A82E50" w:rsidRPr="00191BD0" w:rsidRDefault="00A82E50" w:rsidP="00191BD0">
      <w:pPr>
        <w:pStyle w:val="Default"/>
        <w:rPr>
          <w:b/>
          <w:bCs/>
          <w:sz w:val="22"/>
          <w:szCs w:val="22"/>
        </w:rPr>
      </w:pPr>
    </w:p>
    <w:p w14:paraId="4D60ACC3" w14:textId="066EB701" w:rsidR="00A82E50" w:rsidRPr="00191BD0" w:rsidRDefault="00A82E50" w:rsidP="00191BD0">
      <w:pPr>
        <w:pStyle w:val="Default"/>
        <w:numPr>
          <w:ilvl w:val="0"/>
          <w:numId w:val="11"/>
        </w:numPr>
        <w:rPr>
          <w:sz w:val="22"/>
          <w:szCs w:val="22"/>
        </w:rPr>
      </w:pPr>
      <w:r w:rsidRPr="00191BD0">
        <w:rPr>
          <w:b/>
          <w:bCs/>
          <w:sz w:val="22"/>
          <w:szCs w:val="22"/>
        </w:rPr>
        <w:lastRenderedPageBreak/>
        <w:t>Uber Business Account</w:t>
      </w:r>
      <w:r w:rsidRPr="00191BD0">
        <w:rPr>
          <w:sz w:val="22"/>
          <w:szCs w:val="22"/>
        </w:rPr>
        <w:br/>
        <w:t>We established an Uber Business account to provide employees with access to subsidized electric vehicle (EV) taxis for business travel. This initiative, combined with our travel policy prohibiting unnecessary private transport within London, has contributed to a reduction in business travel emissions while also improving the quality of our carbon accounting data.</w:t>
      </w:r>
    </w:p>
    <w:p w14:paraId="10D09008" w14:textId="7FB67EAB" w:rsidR="00A82E50" w:rsidRPr="00191BD0" w:rsidRDefault="00A82E50" w:rsidP="00191BD0">
      <w:pPr>
        <w:pStyle w:val="Default"/>
        <w:numPr>
          <w:ilvl w:val="0"/>
          <w:numId w:val="11"/>
        </w:numPr>
        <w:rPr>
          <w:sz w:val="22"/>
          <w:szCs w:val="22"/>
        </w:rPr>
      </w:pPr>
      <w:r w:rsidRPr="00191BD0">
        <w:rPr>
          <w:b/>
          <w:bCs/>
          <w:sz w:val="22"/>
          <w:szCs w:val="22"/>
        </w:rPr>
        <w:t>Fleet Vehicle Reduction</w:t>
      </w:r>
      <w:r w:rsidRPr="00191BD0">
        <w:rPr>
          <w:sz w:val="22"/>
          <w:szCs w:val="22"/>
        </w:rPr>
        <w:br/>
        <w:t>We have significantly reduced the number of fleet vehicles from 13 to 4, leading to a measurable decrease in Scope 1 emissions.</w:t>
      </w:r>
    </w:p>
    <w:p w14:paraId="44725E43" w14:textId="77777777" w:rsidR="00A82E50" w:rsidRPr="00191BD0" w:rsidRDefault="00A82E50" w:rsidP="00191BD0">
      <w:pPr>
        <w:pStyle w:val="Default"/>
        <w:rPr>
          <w:b/>
          <w:bCs/>
          <w:sz w:val="22"/>
          <w:szCs w:val="22"/>
        </w:rPr>
      </w:pPr>
    </w:p>
    <w:p w14:paraId="76E15567" w14:textId="77777777" w:rsidR="00A82E50" w:rsidRPr="00191BD0" w:rsidRDefault="00A82E50" w:rsidP="00191BD0">
      <w:pPr>
        <w:pStyle w:val="Default"/>
        <w:rPr>
          <w:b/>
          <w:bCs/>
          <w:sz w:val="22"/>
          <w:szCs w:val="22"/>
        </w:rPr>
      </w:pPr>
    </w:p>
    <w:p w14:paraId="2C32388E" w14:textId="75C5E86C" w:rsidR="00A82E50" w:rsidRPr="00191BD0" w:rsidRDefault="00A82E50" w:rsidP="00191BD0">
      <w:pPr>
        <w:pStyle w:val="Default"/>
        <w:rPr>
          <w:b/>
          <w:bCs/>
          <w:sz w:val="22"/>
          <w:szCs w:val="22"/>
        </w:rPr>
      </w:pPr>
      <w:r w:rsidRPr="00191BD0">
        <w:rPr>
          <w:b/>
          <w:bCs/>
          <w:sz w:val="22"/>
          <w:szCs w:val="22"/>
        </w:rPr>
        <w:t>Supply Chain</w:t>
      </w:r>
    </w:p>
    <w:p w14:paraId="060D451A" w14:textId="77777777" w:rsidR="00A82E50" w:rsidRPr="00191BD0" w:rsidRDefault="00A82E50" w:rsidP="00191BD0">
      <w:pPr>
        <w:pStyle w:val="Default"/>
        <w:rPr>
          <w:b/>
          <w:bCs/>
          <w:sz w:val="22"/>
          <w:szCs w:val="22"/>
        </w:rPr>
      </w:pPr>
    </w:p>
    <w:p w14:paraId="1DB07B86" w14:textId="77777777" w:rsidR="00A82E50" w:rsidRPr="00191BD0" w:rsidRDefault="00A82E50" w:rsidP="00191BD0">
      <w:pPr>
        <w:pStyle w:val="Default"/>
        <w:numPr>
          <w:ilvl w:val="0"/>
          <w:numId w:val="11"/>
        </w:numPr>
        <w:rPr>
          <w:sz w:val="22"/>
          <w:szCs w:val="22"/>
        </w:rPr>
      </w:pPr>
      <w:r w:rsidRPr="00191BD0">
        <w:rPr>
          <w:b/>
          <w:bCs/>
          <w:sz w:val="22"/>
          <w:szCs w:val="22"/>
        </w:rPr>
        <w:t>Sustainable Procurement Policies and Procedures</w:t>
      </w:r>
      <w:r w:rsidRPr="00191BD0">
        <w:rPr>
          <w:sz w:val="22"/>
          <w:szCs w:val="22"/>
        </w:rPr>
        <w:br/>
        <w:t>We have developed and implemented Sustainable Procurement Policies and Procedures for our property management teams. These guidelines ensure that suppliers adhere to environmental best practices, reinforcing our commitment to responsible sourcing.</w:t>
      </w:r>
    </w:p>
    <w:p w14:paraId="167F98A7" w14:textId="77777777" w:rsidR="00A82E50" w:rsidRPr="00191BD0" w:rsidRDefault="00A82E50" w:rsidP="00191BD0">
      <w:pPr>
        <w:pStyle w:val="Default"/>
        <w:numPr>
          <w:ilvl w:val="0"/>
          <w:numId w:val="11"/>
        </w:numPr>
        <w:rPr>
          <w:sz w:val="22"/>
          <w:szCs w:val="22"/>
        </w:rPr>
      </w:pPr>
      <w:r w:rsidRPr="00191BD0">
        <w:rPr>
          <w:b/>
          <w:bCs/>
          <w:sz w:val="22"/>
          <w:szCs w:val="22"/>
        </w:rPr>
        <w:t>Updated Supplier Code of Conduct</w:t>
      </w:r>
      <w:r w:rsidRPr="00191BD0">
        <w:rPr>
          <w:sz w:val="22"/>
          <w:szCs w:val="22"/>
        </w:rPr>
        <w:br/>
        <w:t>We have revised our Supplier Code of Conduct to include obligations for suppliers to provide greenhouse gas (GHG) emissions data. This requirement enhances the transparency of our supply chain emissions, enabling us to take informed actions to achieve our Scope 3 reduction targets.</w:t>
      </w:r>
    </w:p>
    <w:p w14:paraId="349EDAE8" w14:textId="77777777" w:rsidR="00550EB7" w:rsidRPr="00191BD0" w:rsidRDefault="00550EB7" w:rsidP="00191BD0">
      <w:pPr>
        <w:pStyle w:val="Default"/>
        <w:rPr>
          <w:sz w:val="22"/>
          <w:szCs w:val="22"/>
        </w:rPr>
      </w:pPr>
    </w:p>
    <w:p w14:paraId="218810D8" w14:textId="3F870F5B" w:rsidR="00C15433" w:rsidRPr="00191BD0" w:rsidRDefault="00C15433" w:rsidP="00191BD0">
      <w:pPr>
        <w:pStyle w:val="Heading1"/>
        <w:spacing w:before="360" w:line="244" w:lineRule="auto"/>
        <w:rPr>
          <w:b/>
          <w:sz w:val="22"/>
          <w:szCs w:val="22"/>
        </w:rPr>
      </w:pPr>
      <w:r w:rsidRPr="00191BD0">
        <w:rPr>
          <w:b/>
          <w:sz w:val="22"/>
          <w:szCs w:val="22"/>
        </w:rPr>
        <w:t>Environmental Management System</w:t>
      </w:r>
    </w:p>
    <w:p w14:paraId="7BFAF5CC" w14:textId="77777777" w:rsidR="00C15433" w:rsidRPr="00191BD0" w:rsidRDefault="00C15433" w:rsidP="00191BD0">
      <w:pPr>
        <w:pStyle w:val="Standard"/>
        <w:spacing w:after="140" w:line="268" w:lineRule="auto"/>
      </w:pPr>
      <w:r w:rsidRPr="00191BD0">
        <w:t xml:space="preserve">Our Integrated Management System, which comprises of Quality (ISO9001:2015, Environmental (ISO14001:2015) and Health &amp; Safety (ISO45001:2018), is certified by </w:t>
      </w:r>
      <w:proofErr w:type="spellStart"/>
      <w:r w:rsidRPr="00191BD0">
        <w:t>Amtivo</w:t>
      </w:r>
      <w:proofErr w:type="spellEnd"/>
      <w:r w:rsidRPr="00191BD0">
        <w:t xml:space="preserve"> Group, has been implemented for the main purpose of providing a framework for the continual measuring, monitoring, evaluation and improvements of Quality, Environmental and Health &amp; Safet within Lambert Smith Hampton. Our Integrated Management System underpins our core values and the mission that LSH strive to achieve on a continual basis, coordinating the Management Systems with our Policies and commitments from the organisations top Management.</w:t>
      </w:r>
    </w:p>
    <w:p w14:paraId="68141109" w14:textId="31AE9BC4" w:rsidR="00462417" w:rsidRPr="00191BD0" w:rsidRDefault="00F16D0B" w:rsidP="00191BD0">
      <w:pPr>
        <w:pStyle w:val="Standard"/>
        <w:spacing w:after="140" w:line="268" w:lineRule="auto"/>
        <w:rPr>
          <w:b/>
        </w:rPr>
      </w:pPr>
      <w:r w:rsidRPr="00191BD0">
        <w:rPr>
          <w:b/>
        </w:rPr>
        <w:t>Future Carbon Reduction Initiatives</w:t>
      </w:r>
    </w:p>
    <w:p w14:paraId="022ABE3D" w14:textId="63CD684F" w:rsidR="00F16D0B" w:rsidRPr="00191BD0" w:rsidRDefault="00F16D0B" w:rsidP="00191BD0">
      <w:pPr>
        <w:pStyle w:val="Standard"/>
        <w:spacing w:after="140" w:line="268" w:lineRule="auto"/>
        <w:rPr>
          <w:bCs/>
        </w:rPr>
      </w:pPr>
      <w:r w:rsidRPr="00191BD0">
        <w:rPr>
          <w:bCs/>
        </w:rPr>
        <w:t>To build on our current carbon reduction efforts, we are committed to pursuing a range of future initiatives that will further reduce our environmental impact. These initiatives include:</w:t>
      </w:r>
    </w:p>
    <w:p w14:paraId="3CD0D385" w14:textId="29E6DA9D" w:rsidR="00F16D0B" w:rsidRPr="00191BD0" w:rsidRDefault="00F16D0B" w:rsidP="00191BD0">
      <w:pPr>
        <w:pStyle w:val="Standard"/>
        <w:numPr>
          <w:ilvl w:val="0"/>
          <w:numId w:val="17"/>
        </w:numPr>
        <w:spacing w:after="140" w:line="268" w:lineRule="auto"/>
        <w:rPr>
          <w:bCs/>
        </w:rPr>
      </w:pPr>
      <w:r w:rsidRPr="00191BD0">
        <w:rPr>
          <w:b/>
          <w:bCs/>
        </w:rPr>
        <w:t>Transition to a Fully Gas-Free Office Portfolio</w:t>
      </w:r>
      <w:r w:rsidRPr="00191BD0">
        <w:rPr>
          <w:bCs/>
        </w:rPr>
        <w:br/>
        <w:t>We aim to move towards a gas-free office portfolio through both of engaging with our existing landlords to encourage the removal gas supplies and to strategically relocate to gas offices. This will contribute significantly to lowering our Scope 1 emissions and improving overall building efficiency.</w:t>
      </w:r>
    </w:p>
    <w:p w14:paraId="324F7959" w14:textId="77777777" w:rsidR="00F16D0B" w:rsidRPr="00191BD0" w:rsidRDefault="00F16D0B" w:rsidP="00191BD0">
      <w:pPr>
        <w:pStyle w:val="Standard"/>
        <w:numPr>
          <w:ilvl w:val="0"/>
          <w:numId w:val="17"/>
        </w:numPr>
        <w:spacing w:after="140" w:line="268" w:lineRule="auto"/>
        <w:rPr>
          <w:bCs/>
        </w:rPr>
      </w:pPr>
      <w:r w:rsidRPr="00191BD0">
        <w:rPr>
          <w:b/>
          <w:bCs/>
        </w:rPr>
        <w:t>Powering All Offices with 100% Renewable Electricity</w:t>
      </w:r>
      <w:r w:rsidRPr="00191BD0">
        <w:rPr>
          <w:bCs/>
        </w:rPr>
        <w:br/>
        <w:t>Our goal is to source all electricity used across our office portfolio from certified renewable sources. Where feasible, we will also explore opportunities for on-site renewable energy generation, such as rooftop solar installations, to further reduce reliance on grid-supplied energy and demonstrate leadership in sustainable energy use.</w:t>
      </w:r>
    </w:p>
    <w:p w14:paraId="2DEF289F" w14:textId="66267FD6" w:rsidR="00F16D0B" w:rsidRPr="00191BD0" w:rsidRDefault="00F16D0B" w:rsidP="00191BD0">
      <w:pPr>
        <w:pStyle w:val="Standard"/>
        <w:numPr>
          <w:ilvl w:val="0"/>
          <w:numId w:val="17"/>
        </w:numPr>
        <w:spacing w:after="140" w:line="268" w:lineRule="auto"/>
        <w:rPr>
          <w:bCs/>
        </w:rPr>
      </w:pPr>
      <w:r w:rsidRPr="00191BD0">
        <w:rPr>
          <w:b/>
          <w:bCs/>
        </w:rPr>
        <w:lastRenderedPageBreak/>
        <w:t>Elimination of Company Fleet</w:t>
      </w:r>
      <w:r w:rsidRPr="00191BD0">
        <w:rPr>
          <w:bCs/>
        </w:rPr>
        <w:br/>
        <w:t xml:space="preserve">We are working towards the complete removal of a company-owned or leased vehicle fleet. In its place, we will encourage the use of sustainable transport alternatives such as public transit, active travel, and, where necessary, electric vehicle options through our existing </w:t>
      </w:r>
      <w:r w:rsidR="00C25753" w:rsidRPr="00191BD0">
        <w:rPr>
          <w:bCs/>
        </w:rPr>
        <w:t>salary sacrifice EV leasing scheme</w:t>
      </w:r>
      <w:r w:rsidRPr="00191BD0">
        <w:rPr>
          <w:bCs/>
        </w:rPr>
        <w:t>.</w:t>
      </w:r>
    </w:p>
    <w:p w14:paraId="66D3B2A5" w14:textId="0E4684C2" w:rsidR="00F16D0B" w:rsidRPr="00191BD0" w:rsidRDefault="00F16D0B" w:rsidP="00191BD0">
      <w:pPr>
        <w:pStyle w:val="Standard"/>
        <w:numPr>
          <w:ilvl w:val="0"/>
          <w:numId w:val="17"/>
        </w:numPr>
        <w:spacing w:after="140" w:line="268" w:lineRule="auto"/>
        <w:rPr>
          <w:bCs/>
        </w:rPr>
      </w:pPr>
      <w:r w:rsidRPr="00191BD0">
        <w:rPr>
          <w:b/>
          <w:bCs/>
        </w:rPr>
        <w:t>Supply Chain Engagement on Emissions Reduction</w:t>
      </w:r>
      <w:r w:rsidRPr="00191BD0">
        <w:rPr>
          <w:bCs/>
        </w:rPr>
        <w:br/>
        <w:t>We recognise that a significant portion of our carbon footprint lies within our supply chain. As such, we plan to actively engage with our key suppliers and contractors to encourage the measurement, reporting, and reduction of their emissions. This may involve integrating sustainability criteria into procurement processes, promoting low-carbon products and services, and collaborating on shared goals for emission reductions.</w:t>
      </w:r>
    </w:p>
    <w:p w14:paraId="76949949" w14:textId="77777777" w:rsidR="00350BFB" w:rsidRPr="00191BD0" w:rsidRDefault="00350BFB" w:rsidP="00191BD0">
      <w:pPr>
        <w:pStyle w:val="Standard"/>
        <w:spacing w:after="140" w:line="268" w:lineRule="auto"/>
      </w:pPr>
    </w:p>
    <w:p w14:paraId="6F6532BD" w14:textId="77777777" w:rsidR="007658E8" w:rsidRPr="00191BD0" w:rsidRDefault="0070322C" w:rsidP="00191BD0">
      <w:pPr>
        <w:pStyle w:val="Heading1"/>
        <w:spacing w:before="360" w:line="244" w:lineRule="auto"/>
        <w:rPr>
          <w:sz w:val="22"/>
          <w:szCs w:val="22"/>
        </w:rPr>
      </w:pPr>
      <w:bookmarkStart w:id="19" w:name="_heading=h.49x2ik5"/>
      <w:bookmarkEnd w:id="19"/>
      <w:r w:rsidRPr="00191BD0">
        <w:rPr>
          <w:b/>
          <w:sz w:val="22"/>
          <w:szCs w:val="22"/>
        </w:rPr>
        <w:t>Declaration and Sign Off</w:t>
      </w:r>
    </w:p>
    <w:p w14:paraId="6F6532BE" w14:textId="77777777" w:rsidR="007658E8" w:rsidRPr="00191BD0" w:rsidRDefault="0070322C" w:rsidP="00191BD0">
      <w:pPr>
        <w:pStyle w:val="Standard"/>
        <w:spacing w:after="300" w:line="244" w:lineRule="auto"/>
      </w:pPr>
      <w:r w:rsidRPr="00191BD0">
        <w:t>This Carbon Reduction Plan has been completed in accordance with PPN 06/21 and associated guidance and reporting standard for Carbon Reduction Plans.</w:t>
      </w:r>
    </w:p>
    <w:p w14:paraId="6F6532BF" w14:textId="77777777" w:rsidR="007658E8" w:rsidRPr="00191BD0" w:rsidRDefault="0070322C" w:rsidP="00191BD0">
      <w:pPr>
        <w:pStyle w:val="Standard"/>
        <w:spacing w:after="300" w:line="244" w:lineRule="auto"/>
      </w:pPr>
      <w:r w:rsidRPr="00191BD0">
        <w:t>Emissions have been reported and recorded in accordance with</w:t>
      </w:r>
      <w:r w:rsidRPr="00191BD0">
        <w:rPr>
          <w:color w:val="0B0C0C"/>
        </w:rPr>
        <w:t xml:space="preserve"> the published reporting standard for Carbon Reduction Plans and the </w:t>
      </w:r>
      <w:r w:rsidRPr="00191BD0">
        <w:rPr>
          <w:color w:val="000000"/>
        </w:rPr>
        <w:t>GHG Reporting Protocol corporate standard</w:t>
      </w:r>
      <w:r w:rsidRPr="00191BD0">
        <w:rPr>
          <w:rStyle w:val="FootnoteReference"/>
          <w:color w:val="000000"/>
        </w:rPr>
        <w:footnoteReference w:id="1"/>
      </w:r>
      <w:r w:rsidRPr="00191BD0">
        <w:rPr>
          <w:color w:val="000000"/>
        </w:rPr>
        <w:t xml:space="preserve"> </w:t>
      </w:r>
      <w:r w:rsidRPr="00191BD0">
        <w:rPr>
          <w:color w:val="0B0C0C"/>
        </w:rPr>
        <w:t>and uses the appropri</w:t>
      </w:r>
      <w:r w:rsidRPr="00191BD0">
        <w:rPr>
          <w:color w:val="000000"/>
        </w:rPr>
        <w:t xml:space="preserve">ate </w:t>
      </w:r>
      <w:hyperlink r:id="rId7" w:history="1">
        <w:r w:rsidRPr="00191BD0">
          <w:rPr>
            <w:color w:val="000000"/>
          </w:rPr>
          <w:t>Government emission conversion factors for greenhouse gas company reporting</w:t>
        </w:r>
      </w:hyperlink>
      <w:r w:rsidRPr="00191BD0">
        <w:rPr>
          <w:rStyle w:val="FootnoteReference"/>
          <w:color w:val="000000"/>
        </w:rPr>
        <w:footnoteReference w:id="2"/>
      </w:r>
      <w:r w:rsidRPr="00191BD0">
        <w:rPr>
          <w:color w:val="000000"/>
        </w:rPr>
        <w:t>.</w:t>
      </w:r>
    </w:p>
    <w:p w14:paraId="6F6532C0" w14:textId="77777777" w:rsidR="007658E8" w:rsidRPr="00191BD0" w:rsidRDefault="0070322C" w:rsidP="00191BD0">
      <w:pPr>
        <w:pStyle w:val="Standard"/>
        <w:spacing w:after="300" w:line="244" w:lineRule="auto"/>
      </w:pPr>
      <w:r w:rsidRPr="00191BD0">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sidRPr="00191BD0">
        <w:rPr>
          <w:color w:val="000000"/>
        </w:rPr>
        <w:t>Corporate Value Chain (Scope 3) Standard</w:t>
      </w:r>
      <w:r w:rsidRPr="00191BD0">
        <w:rPr>
          <w:rStyle w:val="FootnoteReference"/>
          <w:color w:val="000000"/>
        </w:rPr>
        <w:footnoteReference w:id="3"/>
      </w:r>
      <w:r w:rsidRPr="00191BD0">
        <w:rPr>
          <w:color w:val="000000"/>
        </w:rPr>
        <w:t>.</w:t>
      </w:r>
    </w:p>
    <w:p w14:paraId="6F6532C1" w14:textId="77777777" w:rsidR="007658E8" w:rsidRPr="00191BD0" w:rsidRDefault="0070322C" w:rsidP="00191BD0">
      <w:pPr>
        <w:pStyle w:val="Standard"/>
        <w:spacing w:after="300" w:line="244" w:lineRule="auto"/>
      </w:pPr>
      <w:bookmarkStart w:id="20" w:name="_heading=h.2p2csry"/>
      <w:bookmarkEnd w:id="20"/>
      <w:r w:rsidRPr="00191BD0">
        <w:rPr>
          <w:color w:val="0B0C0C"/>
        </w:rPr>
        <w:t xml:space="preserve">This Carbon Reduction Plan has been reviewed and signed off </w:t>
      </w:r>
      <w:r w:rsidRPr="00191BD0">
        <w:t>by the board of directors (or equivalent management body).</w:t>
      </w:r>
    </w:p>
    <w:p w14:paraId="6F6532C3" w14:textId="5FE9059D" w:rsidR="007658E8" w:rsidRPr="00191BD0" w:rsidRDefault="0070322C" w:rsidP="00191BD0">
      <w:pPr>
        <w:pStyle w:val="Heading4"/>
        <w:spacing w:after="300" w:line="244" w:lineRule="auto"/>
        <w:jc w:val="left"/>
        <w:rPr>
          <w:sz w:val="22"/>
          <w:szCs w:val="22"/>
        </w:rPr>
      </w:pPr>
      <w:r w:rsidRPr="00191BD0">
        <w:rPr>
          <w:sz w:val="22"/>
          <w:szCs w:val="22"/>
        </w:rPr>
        <w:t xml:space="preserve">Signed on behalf of </w:t>
      </w:r>
      <w:r w:rsidR="00550EB7" w:rsidRPr="00191BD0">
        <w:rPr>
          <w:sz w:val="22"/>
          <w:szCs w:val="22"/>
        </w:rPr>
        <w:t>Lambert Smith Hampton</w:t>
      </w:r>
      <w:r w:rsidRPr="00191BD0">
        <w:rPr>
          <w:sz w:val="22"/>
          <w:szCs w:val="22"/>
        </w:rPr>
        <w:t>:</w:t>
      </w:r>
    </w:p>
    <w:p w14:paraId="1DC88E0A" w14:textId="77777777" w:rsidR="00C1396A" w:rsidRDefault="00C1396A" w:rsidP="00191BD0">
      <w:pPr>
        <w:pStyle w:val="Standard"/>
        <w:spacing w:after="300" w:line="244" w:lineRule="auto"/>
        <w:rPr>
          <w:color w:val="0B0C0C"/>
        </w:rPr>
      </w:pPr>
      <w:r>
        <w:rPr>
          <w:noProof/>
        </w:rPr>
        <w:drawing>
          <wp:inline distT="0" distB="0" distL="0" distR="0" wp14:anchorId="36D21048" wp14:editId="6139E830">
            <wp:extent cx="2482850" cy="465534"/>
            <wp:effectExtent l="0" t="0" r="0" b="0"/>
            <wp:docPr id="1764178760" name="Picture 1" descr="A black and white photo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78760" name="Picture 1" descr="A black and white photo of a signature&#10;&#10;AI-generated content may be incorrect."/>
                    <pic:cNvPicPr/>
                  </pic:nvPicPr>
                  <pic:blipFill>
                    <a:blip r:embed="rId8"/>
                    <a:stretch>
                      <a:fillRect/>
                    </a:stretch>
                  </pic:blipFill>
                  <pic:spPr>
                    <a:xfrm>
                      <a:off x="0" y="0"/>
                      <a:ext cx="2510060" cy="470636"/>
                    </a:xfrm>
                    <a:prstGeom prst="rect">
                      <a:avLst/>
                    </a:prstGeom>
                  </pic:spPr>
                </pic:pic>
              </a:graphicData>
            </a:graphic>
          </wp:inline>
        </w:drawing>
      </w:r>
    </w:p>
    <w:p w14:paraId="6B9A48C0" w14:textId="058D6E2E" w:rsidR="006056AD" w:rsidRPr="006056AD" w:rsidRDefault="006056AD" w:rsidP="00191BD0">
      <w:pPr>
        <w:pStyle w:val="Standard"/>
        <w:spacing w:after="300" w:line="244" w:lineRule="auto"/>
      </w:pPr>
      <w:r w:rsidRPr="006056AD">
        <w:rPr>
          <w:color w:val="0B0C0C"/>
        </w:rPr>
        <w:t xml:space="preserve">Federico Montella – </w:t>
      </w:r>
      <w:r>
        <w:rPr>
          <w:color w:val="0B0C0C"/>
        </w:rPr>
        <w:t xml:space="preserve">LSH </w:t>
      </w:r>
      <w:r w:rsidRPr="006056AD">
        <w:rPr>
          <w:color w:val="0B0C0C"/>
        </w:rPr>
        <w:t>Head of ES</w:t>
      </w:r>
      <w:r>
        <w:rPr>
          <w:color w:val="0B0C0C"/>
        </w:rPr>
        <w:t xml:space="preserve">G &amp; Sustainability </w:t>
      </w:r>
    </w:p>
    <w:p w14:paraId="6F6532C5" w14:textId="182CD065" w:rsidR="007658E8" w:rsidRPr="006056AD" w:rsidRDefault="0070322C" w:rsidP="00191BD0">
      <w:pPr>
        <w:pStyle w:val="Standard"/>
        <w:spacing w:after="300" w:line="244" w:lineRule="auto"/>
        <w:rPr>
          <w:lang w:val="it-IT"/>
        </w:rPr>
      </w:pPr>
      <w:r w:rsidRPr="006056AD">
        <w:rPr>
          <w:color w:val="0B0C0C"/>
          <w:lang w:val="it-IT"/>
        </w:rPr>
        <w:t xml:space="preserve">Date: </w:t>
      </w:r>
      <w:bookmarkStart w:id="21" w:name="_heading=h.147n2zr"/>
      <w:bookmarkEnd w:id="21"/>
      <w:r w:rsidR="00191BD0" w:rsidRPr="006056AD">
        <w:rPr>
          <w:color w:val="0B0C0C"/>
          <w:lang w:val="it-IT"/>
        </w:rPr>
        <w:t>22/04/2025</w:t>
      </w:r>
    </w:p>
    <w:p w14:paraId="6F6532C6" w14:textId="77777777" w:rsidR="007658E8" w:rsidRPr="006056AD" w:rsidRDefault="007658E8" w:rsidP="00191BD0">
      <w:pPr>
        <w:pStyle w:val="Standard"/>
        <w:rPr>
          <w:shd w:val="clear" w:color="auto" w:fill="FFFF00"/>
          <w:lang w:val="it-IT"/>
        </w:rPr>
      </w:pPr>
    </w:p>
    <w:p w14:paraId="6F6532C7" w14:textId="77777777" w:rsidR="007658E8" w:rsidRPr="006056AD" w:rsidRDefault="007658E8" w:rsidP="00191BD0">
      <w:pPr>
        <w:pStyle w:val="Standard"/>
        <w:rPr>
          <w:lang w:val="it-IT"/>
        </w:rPr>
      </w:pPr>
    </w:p>
    <w:sectPr w:rsidR="007658E8" w:rsidRPr="006056AD">
      <w:head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BF3B" w14:textId="77777777" w:rsidR="00F860BB" w:rsidRDefault="00F860BB">
      <w:r>
        <w:separator/>
      </w:r>
    </w:p>
  </w:endnote>
  <w:endnote w:type="continuationSeparator" w:id="0">
    <w:p w14:paraId="469D293C" w14:textId="77777777" w:rsidR="00F860BB" w:rsidRDefault="00F8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0F441" w14:textId="77777777" w:rsidR="00F860BB" w:rsidRDefault="00F860BB">
      <w:r>
        <w:rPr>
          <w:color w:val="000000"/>
        </w:rPr>
        <w:separator/>
      </w:r>
    </w:p>
  </w:footnote>
  <w:footnote w:type="continuationSeparator" w:id="0">
    <w:p w14:paraId="2A165200" w14:textId="77777777" w:rsidR="00F860BB" w:rsidRDefault="00F860BB">
      <w:r>
        <w:continuationSeparator/>
      </w:r>
    </w:p>
  </w:footnote>
  <w:footnote w:id="1">
    <w:p w14:paraId="6F65325F" w14:textId="77777777" w:rsidR="007658E8" w:rsidRDefault="0070322C">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2">
    <w:p w14:paraId="6F653260" w14:textId="77777777" w:rsidR="007658E8" w:rsidRDefault="0070322C">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3">
    <w:p w14:paraId="6F653261" w14:textId="77777777" w:rsidR="007658E8" w:rsidRDefault="0070322C">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3264" w14:textId="77777777" w:rsidR="0070322C" w:rsidRDefault="0070322C">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043A0"/>
    <w:multiLevelType w:val="hybridMultilevel"/>
    <w:tmpl w:val="0178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E7E52"/>
    <w:multiLevelType w:val="hybridMultilevel"/>
    <w:tmpl w:val="C1D2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BFC"/>
    <w:multiLevelType w:val="hybridMultilevel"/>
    <w:tmpl w:val="A774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A0903"/>
    <w:multiLevelType w:val="multilevel"/>
    <w:tmpl w:val="DBCA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94D90"/>
    <w:multiLevelType w:val="multilevel"/>
    <w:tmpl w:val="BB80A920"/>
    <w:styleLink w:val="NoList1"/>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5" w15:restartNumberingAfterBreak="0">
    <w:nsid w:val="1AC70879"/>
    <w:multiLevelType w:val="hybridMultilevel"/>
    <w:tmpl w:val="8D9E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017D4"/>
    <w:multiLevelType w:val="hybridMultilevel"/>
    <w:tmpl w:val="C7A6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94CC6"/>
    <w:multiLevelType w:val="multilevel"/>
    <w:tmpl w:val="242E7AB2"/>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ED7999"/>
    <w:multiLevelType w:val="multilevel"/>
    <w:tmpl w:val="987EC8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074316"/>
    <w:multiLevelType w:val="hybridMultilevel"/>
    <w:tmpl w:val="DEA6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A652C0"/>
    <w:multiLevelType w:val="multilevel"/>
    <w:tmpl w:val="925AF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9E71B7"/>
    <w:multiLevelType w:val="multilevel"/>
    <w:tmpl w:val="8B4C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F16761"/>
    <w:multiLevelType w:val="multilevel"/>
    <w:tmpl w:val="6170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DF417C"/>
    <w:multiLevelType w:val="hybridMultilevel"/>
    <w:tmpl w:val="C3F2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F07CA"/>
    <w:multiLevelType w:val="hybridMultilevel"/>
    <w:tmpl w:val="26FA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AC3209"/>
    <w:multiLevelType w:val="hybridMultilevel"/>
    <w:tmpl w:val="896A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805204"/>
    <w:multiLevelType w:val="hybridMultilevel"/>
    <w:tmpl w:val="686A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2B6F65"/>
    <w:multiLevelType w:val="multilevel"/>
    <w:tmpl w:val="987EC8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2735134">
    <w:abstractNumId w:val="4"/>
  </w:num>
  <w:num w:numId="2" w16cid:durableId="1264606266">
    <w:abstractNumId w:val="7"/>
  </w:num>
  <w:num w:numId="3" w16cid:durableId="489374639">
    <w:abstractNumId w:val="11"/>
  </w:num>
  <w:num w:numId="4" w16cid:durableId="2067799946">
    <w:abstractNumId w:val="0"/>
  </w:num>
  <w:num w:numId="5" w16cid:durableId="537082795">
    <w:abstractNumId w:val="1"/>
  </w:num>
  <w:num w:numId="6" w16cid:durableId="1837380328">
    <w:abstractNumId w:val="15"/>
  </w:num>
  <w:num w:numId="7" w16cid:durableId="1669208201">
    <w:abstractNumId w:val="13"/>
  </w:num>
  <w:num w:numId="8" w16cid:durableId="217711509">
    <w:abstractNumId w:val="5"/>
  </w:num>
  <w:num w:numId="9" w16cid:durableId="52390366">
    <w:abstractNumId w:val="2"/>
  </w:num>
  <w:num w:numId="10" w16cid:durableId="1324965576">
    <w:abstractNumId w:val="14"/>
  </w:num>
  <w:num w:numId="11" w16cid:durableId="1748570364">
    <w:abstractNumId w:val="9"/>
  </w:num>
  <w:num w:numId="12" w16cid:durableId="540747501">
    <w:abstractNumId w:val="10"/>
  </w:num>
  <w:num w:numId="13" w16cid:durableId="1519269952">
    <w:abstractNumId w:val="17"/>
  </w:num>
  <w:num w:numId="14" w16cid:durableId="1042709580">
    <w:abstractNumId w:val="8"/>
  </w:num>
  <w:num w:numId="15" w16cid:durableId="1814567606">
    <w:abstractNumId w:val="3"/>
  </w:num>
  <w:num w:numId="16" w16cid:durableId="2117361853">
    <w:abstractNumId w:val="16"/>
  </w:num>
  <w:num w:numId="17" w16cid:durableId="1694723439">
    <w:abstractNumId w:val="12"/>
  </w:num>
  <w:num w:numId="18" w16cid:durableId="121658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E8"/>
    <w:rsid w:val="00096E21"/>
    <w:rsid w:val="000D3314"/>
    <w:rsid w:val="001011C2"/>
    <w:rsid w:val="001809E2"/>
    <w:rsid w:val="00191BD0"/>
    <w:rsid w:val="001F4384"/>
    <w:rsid w:val="0020795B"/>
    <w:rsid w:val="0027671D"/>
    <w:rsid w:val="002A343B"/>
    <w:rsid w:val="002F75C5"/>
    <w:rsid w:val="00350BFB"/>
    <w:rsid w:val="00357334"/>
    <w:rsid w:val="00400D25"/>
    <w:rsid w:val="00414403"/>
    <w:rsid w:val="004365D3"/>
    <w:rsid w:val="00462417"/>
    <w:rsid w:val="00477938"/>
    <w:rsid w:val="004D7561"/>
    <w:rsid w:val="00532B46"/>
    <w:rsid w:val="00550EB7"/>
    <w:rsid w:val="005832CC"/>
    <w:rsid w:val="005D76B7"/>
    <w:rsid w:val="006056AD"/>
    <w:rsid w:val="006F6F02"/>
    <w:rsid w:val="0070322C"/>
    <w:rsid w:val="007658E8"/>
    <w:rsid w:val="007C6E96"/>
    <w:rsid w:val="007E12CA"/>
    <w:rsid w:val="007F6A61"/>
    <w:rsid w:val="00820450"/>
    <w:rsid w:val="009212A0"/>
    <w:rsid w:val="00997A2B"/>
    <w:rsid w:val="009B3534"/>
    <w:rsid w:val="009B556B"/>
    <w:rsid w:val="009E2CF8"/>
    <w:rsid w:val="00A05178"/>
    <w:rsid w:val="00A70AE7"/>
    <w:rsid w:val="00A82E50"/>
    <w:rsid w:val="00AD3785"/>
    <w:rsid w:val="00B105AB"/>
    <w:rsid w:val="00B936BD"/>
    <w:rsid w:val="00C055AD"/>
    <w:rsid w:val="00C1396A"/>
    <w:rsid w:val="00C15433"/>
    <w:rsid w:val="00C20470"/>
    <w:rsid w:val="00C22BE3"/>
    <w:rsid w:val="00C25753"/>
    <w:rsid w:val="00C47124"/>
    <w:rsid w:val="00CC6E8E"/>
    <w:rsid w:val="00D46CCB"/>
    <w:rsid w:val="00D91C8E"/>
    <w:rsid w:val="00E14D63"/>
    <w:rsid w:val="00E43D18"/>
    <w:rsid w:val="00E45A94"/>
    <w:rsid w:val="00E850E7"/>
    <w:rsid w:val="00ED3CFB"/>
    <w:rsid w:val="00F0167A"/>
    <w:rsid w:val="00F16D0B"/>
    <w:rsid w:val="00F21FD9"/>
    <w:rsid w:val="00F309C1"/>
    <w:rsid w:val="00F43D41"/>
    <w:rsid w:val="00F860BB"/>
    <w:rsid w:val="00FB273D"/>
    <w:rsid w:val="00FC01CF"/>
    <w:rsid w:val="00FD346E"/>
    <w:rsid w:val="00FF6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3258"/>
  <w15:docId w15:val="{E810ACE4-205D-454C-81E3-A980F629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68"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link w:val="CommentTextChar1"/>
    <w:uiPriority w:val="99"/>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uiPriority w:val="99"/>
    <w:rPr>
      <w:sz w:val="20"/>
      <w:szCs w:val="20"/>
    </w:rPr>
  </w:style>
  <w:style w:type="character" w:styleId="CommentReference">
    <w:name w:val="annotation reference"/>
    <w:basedOn w:val="DefaultParagraphFont"/>
    <w:uiPriority w:val="99"/>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character" w:styleId="FootnoteReference">
    <w:name w:val="footnote reference"/>
    <w:basedOn w:val="DefaultParagraphFont"/>
    <w:rPr>
      <w:position w:val="0"/>
      <w:vertAlign w:val="superscrip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paragraph" w:styleId="CommentSubject">
    <w:name w:val="annotation subject"/>
    <w:basedOn w:val="CommentText"/>
    <w:next w:val="CommentText"/>
    <w:link w:val="CommentSubjectChar"/>
    <w:uiPriority w:val="99"/>
    <w:semiHidden/>
    <w:unhideWhenUsed/>
    <w:rsid w:val="00E850E7"/>
    <w:rPr>
      <w:rFonts w:cs="Mangal"/>
      <w:b/>
      <w:bCs/>
      <w:szCs w:val="18"/>
    </w:rPr>
  </w:style>
  <w:style w:type="character" w:customStyle="1" w:styleId="CommentTextChar1">
    <w:name w:val="Comment Text Char1"/>
    <w:basedOn w:val="DefaultParagraphFont"/>
    <w:link w:val="CommentText"/>
    <w:uiPriority w:val="99"/>
    <w:rsid w:val="00E850E7"/>
    <w:rPr>
      <w:sz w:val="20"/>
      <w:szCs w:val="20"/>
    </w:rPr>
  </w:style>
  <w:style w:type="character" w:customStyle="1" w:styleId="CommentSubjectChar">
    <w:name w:val="Comment Subject Char"/>
    <w:basedOn w:val="CommentTextChar1"/>
    <w:link w:val="CommentSubject"/>
    <w:uiPriority w:val="99"/>
    <w:semiHidden/>
    <w:rsid w:val="00E850E7"/>
    <w:rPr>
      <w:rFonts w:cs="Mangal"/>
      <w:b/>
      <w:bCs/>
      <w:sz w:val="20"/>
      <w:szCs w:val="18"/>
    </w:rPr>
  </w:style>
  <w:style w:type="character" w:styleId="Hyperlink">
    <w:name w:val="Hyperlink"/>
    <w:uiPriority w:val="99"/>
    <w:rsid w:val="00E850E7"/>
    <w:rPr>
      <w:color w:val="0000FF"/>
      <w:u w:val="single"/>
    </w:rPr>
  </w:style>
  <w:style w:type="paragraph" w:customStyle="1" w:styleId="Default">
    <w:name w:val="Default"/>
    <w:basedOn w:val="Normal"/>
    <w:rsid w:val="00550EB7"/>
    <w:pPr>
      <w:suppressAutoHyphens w:val="0"/>
      <w:autoSpaceDE w:val="0"/>
      <w:textAlignment w:val="auto"/>
    </w:pPr>
    <w:rPr>
      <w:rFonts w:eastAsiaTheme="minorHAnsi"/>
      <w:color w:val="000000"/>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10867">
      <w:bodyDiv w:val="1"/>
      <w:marLeft w:val="0"/>
      <w:marRight w:val="0"/>
      <w:marTop w:val="0"/>
      <w:marBottom w:val="0"/>
      <w:divBdr>
        <w:top w:val="none" w:sz="0" w:space="0" w:color="auto"/>
        <w:left w:val="none" w:sz="0" w:space="0" w:color="auto"/>
        <w:bottom w:val="none" w:sz="0" w:space="0" w:color="auto"/>
        <w:right w:val="none" w:sz="0" w:space="0" w:color="auto"/>
      </w:divBdr>
    </w:div>
    <w:div w:id="261643211">
      <w:bodyDiv w:val="1"/>
      <w:marLeft w:val="0"/>
      <w:marRight w:val="0"/>
      <w:marTop w:val="0"/>
      <w:marBottom w:val="0"/>
      <w:divBdr>
        <w:top w:val="none" w:sz="0" w:space="0" w:color="auto"/>
        <w:left w:val="none" w:sz="0" w:space="0" w:color="auto"/>
        <w:bottom w:val="none" w:sz="0" w:space="0" w:color="auto"/>
        <w:right w:val="none" w:sz="0" w:space="0" w:color="auto"/>
      </w:divBdr>
    </w:div>
    <w:div w:id="425003353">
      <w:bodyDiv w:val="1"/>
      <w:marLeft w:val="0"/>
      <w:marRight w:val="0"/>
      <w:marTop w:val="0"/>
      <w:marBottom w:val="0"/>
      <w:divBdr>
        <w:top w:val="none" w:sz="0" w:space="0" w:color="auto"/>
        <w:left w:val="none" w:sz="0" w:space="0" w:color="auto"/>
        <w:bottom w:val="none" w:sz="0" w:space="0" w:color="auto"/>
        <w:right w:val="none" w:sz="0" w:space="0" w:color="auto"/>
      </w:divBdr>
    </w:div>
    <w:div w:id="657803698">
      <w:bodyDiv w:val="1"/>
      <w:marLeft w:val="0"/>
      <w:marRight w:val="0"/>
      <w:marTop w:val="0"/>
      <w:marBottom w:val="0"/>
      <w:divBdr>
        <w:top w:val="none" w:sz="0" w:space="0" w:color="auto"/>
        <w:left w:val="none" w:sz="0" w:space="0" w:color="auto"/>
        <w:bottom w:val="none" w:sz="0" w:space="0" w:color="auto"/>
        <w:right w:val="none" w:sz="0" w:space="0" w:color="auto"/>
      </w:divBdr>
    </w:div>
    <w:div w:id="764226329">
      <w:bodyDiv w:val="1"/>
      <w:marLeft w:val="0"/>
      <w:marRight w:val="0"/>
      <w:marTop w:val="0"/>
      <w:marBottom w:val="0"/>
      <w:divBdr>
        <w:top w:val="none" w:sz="0" w:space="0" w:color="auto"/>
        <w:left w:val="none" w:sz="0" w:space="0" w:color="auto"/>
        <w:bottom w:val="none" w:sz="0" w:space="0" w:color="auto"/>
        <w:right w:val="none" w:sz="0" w:space="0" w:color="auto"/>
      </w:divBdr>
    </w:div>
    <w:div w:id="828056553">
      <w:bodyDiv w:val="1"/>
      <w:marLeft w:val="0"/>
      <w:marRight w:val="0"/>
      <w:marTop w:val="0"/>
      <w:marBottom w:val="0"/>
      <w:divBdr>
        <w:top w:val="none" w:sz="0" w:space="0" w:color="auto"/>
        <w:left w:val="none" w:sz="0" w:space="0" w:color="auto"/>
        <w:bottom w:val="none" w:sz="0" w:space="0" w:color="auto"/>
        <w:right w:val="none" w:sz="0" w:space="0" w:color="auto"/>
      </w:divBdr>
    </w:div>
    <w:div w:id="869297679">
      <w:bodyDiv w:val="1"/>
      <w:marLeft w:val="0"/>
      <w:marRight w:val="0"/>
      <w:marTop w:val="0"/>
      <w:marBottom w:val="0"/>
      <w:divBdr>
        <w:top w:val="none" w:sz="0" w:space="0" w:color="auto"/>
        <w:left w:val="none" w:sz="0" w:space="0" w:color="auto"/>
        <w:bottom w:val="none" w:sz="0" w:space="0" w:color="auto"/>
        <w:right w:val="none" w:sz="0" w:space="0" w:color="auto"/>
      </w:divBdr>
    </w:div>
    <w:div w:id="931625618">
      <w:bodyDiv w:val="1"/>
      <w:marLeft w:val="0"/>
      <w:marRight w:val="0"/>
      <w:marTop w:val="0"/>
      <w:marBottom w:val="0"/>
      <w:divBdr>
        <w:top w:val="none" w:sz="0" w:space="0" w:color="auto"/>
        <w:left w:val="none" w:sz="0" w:space="0" w:color="auto"/>
        <w:bottom w:val="none" w:sz="0" w:space="0" w:color="auto"/>
        <w:right w:val="none" w:sz="0" w:space="0" w:color="auto"/>
      </w:divBdr>
    </w:div>
    <w:div w:id="999236749">
      <w:bodyDiv w:val="1"/>
      <w:marLeft w:val="0"/>
      <w:marRight w:val="0"/>
      <w:marTop w:val="0"/>
      <w:marBottom w:val="0"/>
      <w:divBdr>
        <w:top w:val="none" w:sz="0" w:space="0" w:color="auto"/>
        <w:left w:val="none" w:sz="0" w:space="0" w:color="auto"/>
        <w:bottom w:val="none" w:sz="0" w:space="0" w:color="auto"/>
        <w:right w:val="none" w:sz="0" w:space="0" w:color="auto"/>
      </w:divBdr>
    </w:div>
    <w:div w:id="1131021316">
      <w:bodyDiv w:val="1"/>
      <w:marLeft w:val="0"/>
      <w:marRight w:val="0"/>
      <w:marTop w:val="0"/>
      <w:marBottom w:val="0"/>
      <w:divBdr>
        <w:top w:val="none" w:sz="0" w:space="0" w:color="auto"/>
        <w:left w:val="none" w:sz="0" w:space="0" w:color="auto"/>
        <w:bottom w:val="none" w:sz="0" w:space="0" w:color="auto"/>
        <w:right w:val="none" w:sz="0" w:space="0" w:color="auto"/>
      </w:divBdr>
    </w:div>
    <w:div w:id="1161504694">
      <w:bodyDiv w:val="1"/>
      <w:marLeft w:val="0"/>
      <w:marRight w:val="0"/>
      <w:marTop w:val="0"/>
      <w:marBottom w:val="0"/>
      <w:divBdr>
        <w:top w:val="none" w:sz="0" w:space="0" w:color="auto"/>
        <w:left w:val="none" w:sz="0" w:space="0" w:color="auto"/>
        <w:bottom w:val="none" w:sz="0" w:space="0" w:color="auto"/>
        <w:right w:val="none" w:sz="0" w:space="0" w:color="auto"/>
      </w:divBdr>
    </w:div>
    <w:div w:id="1229458800">
      <w:bodyDiv w:val="1"/>
      <w:marLeft w:val="0"/>
      <w:marRight w:val="0"/>
      <w:marTop w:val="0"/>
      <w:marBottom w:val="0"/>
      <w:divBdr>
        <w:top w:val="none" w:sz="0" w:space="0" w:color="auto"/>
        <w:left w:val="none" w:sz="0" w:space="0" w:color="auto"/>
        <w:bottom w:val="none" w:sz="0" w:space="0" w:color="auto"/>
        <w:right w:val="none" w:sz="0" w:space="0" w:color="auto"/>
      </w:divBdr>
    </w:div>
    <w:div w:id="1452826451">
      <w:bodyDiv w:val="1"/>
      <w:marLeft w:val="0"/>
      <w:marRight w:val="0"/>
      <w:marTop w:val="0"/>
      <w:marBottom w:val="0"/>
      <w:divBdr>
        <w:top w:val="none" w:sz="0" w:space="0" w:color="auto"/>
        <w:left w:val="none" w:sz="0" w:space="0" w:color="auto"/>
        <w:bottom w:val="none" w:sz="0" w:space="0" w:color="auto"/>
        <w:right w:val="none" w:sz="0" w:space="0" w:color="auto"/>
      </w:divBdr>
    </w:div>
    <w:div w:id="1529024755">
      <w:bodyDiv w:val="1"/>
      <w:marLeft w:val="0"/>
      <w:marRight w:val="0"/>
      <w:marTop w:val="0"/>
      <w:marBottom w:val="0"/>
      <w:divBdr>
        <w:top w:val="none" w:sz="0" w:space="0" w:color="auto"/>
        <w:left w:val="none" w:sz="0" w:space="0" w:color="auto"/>
        <w:bottom w:val="none" w:sz="0" w:space="0" w:color="auto"/>
        <w:right w:val="none" w:sz="0" w:space="0" w:color="auto"/>
      </w:divBdr>
    </w:div>
    <w:div w:id="1535734377">
      <w:bodyDiv w:val="1"/>
      <w:marLeft w:val="0"/>
      <w:marRight w:val="0"/>
      <w:marTop w:val="0"/>
      <w:marBottom w:val="0"/>
      <w:divBdr>
        <w:top w:val="none" w:sz="0" w:space="0" w:color="auto"/>
        <w:left w:val="none" w:sz="0" w:space="0" w:color="auto"/>
        <w:bottom w:val="none" w:sz="0" w:space="0" w:color="auto"/>
        <w:right w:val="none" w:sz="0" w:space="0" w:color="auto"/>
      </w:divBdr>
    </w:div>
    <w:div w:id="1569725734">
      <w:bodyDiv w:val="1"/>
      <w:marLeft w:val="0"/>
      <w:marRight w:val="0"/>
      <w:marTop w:val="0"/>
      <w:marBottom w:val="0"/>
      <w:divBdr>
        <w:top w:val="none" w:sz="0" w:space="0" w:color="auto"/>
        <w:left w:val="none" w:sz="0" w:space="0" w:color="auto"/>
        <w:bottom w:val="none" w:sz="0" w:space="0" w:color="auto"/>
        <w:right w:val="none" w:sz="0" w:space="0" w:color="auto"/>
      </w:divBdr>
    </w:div>
    <w:div w:id="1603414711">
      <w:bodyDiv w:val="1"/>
      <w:marLeft w:val="0"/>
      <w:marRight w:val="0"/>
      <w:marTop w:val="0"/>
      <w:marBottom w:val="0"/>
      <w:divBdr>
        <w:top w:val="none" w:sz="0" w:space="0" w:color="auto"/>
        <w:left w:val="none" w:sz="0" w:space="0" w:color="auto"/>
        <w:bottom w:val="none" w:sz="0" w:space="0" w:color="auto"/>
        <w:right w:val="none" w:sz="0" w:space="0" w:color="auto"/>
      </w:divBdr>
    </w:div>
    <w:div w:id="1645548013">
      <w:bodyDiv w:val="1"/>
      <w:marLeft w:val="0"/>
      <w:marRight w:val="0"/>
      <w:marTop w:val="0"/>
      <w:marBottom w:val="0"/>
      <w:divBdr>
        <w:top w:val="none" w:sz="0" w:space="0" w:color="auto"/>
        <w:left w:val="none" w:sz="0" w:space="0" w:color="auto"/>
        <w:bottom w:val="none" w:sz="0" w:space="0" w:color="auto"/>
        <w:right w:val="none" w:sz="0" w:space="0" w:color="auto"/>
      </w:divBdr>
    </w:div>
    <w:div w:id="1729720659">
      <w:bodyDiv w:val="1"/>
      <w:marLeft w:val="0"/>
      <w:marRight w:val="0"/>
      <w:marTop w:val="0"/>
      <w:marBottom w:val="0"/>
      <w:divBdr>
        <w:top w:val="none" w:sz="0" w:space="0" w:color="auto"/>
        <w:left w:val="none" w:sz="0" w:space="0" w:color="auto"/>
        <w:bottom w:val="none" w:sz="0" w:space="0" w:color="auto"/>
        <w:right w:val="none" w:sz="0" w:space="0" w:color="auto"/>
      </w:divBdr>
    </w:div>
    <w:div w:id="1798252532">
      <w:bodyDiv w:val="1"/>
      <w:marLeft w:val="0"/>
      <w:marRight w:val="0"/>
      <w:marTop w:val="0"/>
      <w:marBottom w:val="0"/>
      <w:divBdr>
        <w:top w:val="none" w:sz="0" w:space="0" w:color="auto"/>
        <w:left w:val="none" w:sz="0" w:space="0" w:color="auto"/>
        <w:bottom w:val="none" w:sz="0" w:space="0" w:color="auto"/>
        <w:right w:val="none" w:sz="0" w:space="0" w:color="auto"/>
      </w:divBdr>
    </w:div>
    <w:div w:id="1829907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v.uk/government/collections/government-conversion-factors-for-company-re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 Dawson</dc:creator>
  <cp:lastModifiedBy>Federico Montella</cp:lastModifiedBy>
  <cp:revision>8</cp:revision>
  <cp:lastPrinted>2025-04-22T12:20:00Z</cp:lastPrinted>
  <dcterms:created xsi:type="dcterms:W3CDTF">2025-04-22T12:09:00Z</dcterms:created>
  <dcterms:modified xsi:type="dcterms:W3CDTF">2025-04-22T12:26:00Z</dcterms:modified>
</cp:coreProperties>
</file>